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3" w:name="X4e116280afb7d9d8b91a51ff917afe9af71d5f8"/>
    <w:p>
      <w:pPr>
        <w:pStyle w:val="Heading1"/>
      </w:pPr>
      <w:r>
        <w:t xml:space="preserve">Diamondback Energy (FANG) — 2Q26 Earnings Preview</w:t>
      </w:r>
    </w:p>
    <w:p>
      <w:pPr>
        <w:pStyle w:val="FirstParagraph"/>
      </w:pPr>
      <w:r>
        <w:rPr>
          <w:b/>
          <w:bCs/>
        </w:rPr>
        <w:t xml:space="preserve">Report date:</w:t>
      </w:r>
      <w:r>
        <w:t xml:space="preserve"> </w:t>
      </w:r>
      <w:r>
        <w:t xml:space="preserve">After market close, Monday, August 3, 2026 ·</w:t>
      </w:r>
      <w:r>
        <w:t xml:space="preserve"> </w:t>
      </w:r>
      <w:r>
        <w:rPr>
          <w:b/>
          <w:bCs/>
        </w:rPr>
        <w:t xml:space="preserve">Call:</w:t>
      </w:r>
      <w:r>
        <w:t xml:space="preserve"> </w:t>
      </w:r>
      <w:r>
        <w:t xml:space="preserve">Tuesday, August 4, ~8:00 a.m. CT ·</w:t>
      </w:r>
      <w:r>
        <w:t xml:space="preserve"> </w:t>
      </w:r>
      <w:r>
        <w:rPr>
          <w:b/>
          <w:bCs/>
        </w:rPr>
        <w:t xml:space="preserve">Period:</w:t>
      </w:r>
      <w:r>
        <w:t xml:space="preserve"> </w:t>
      </w:r>
      <w:r>
        <w:t xml:space="preserve">Q2 2026 (quarter ended June 30, 2026)</w:t>
      </w:r>
    </w:p>
    <w:p>
      <w:pPr>
        <w:pStyle w:val="BodyText"/>
      </w:pPr>
      <w:r>
        <w:rPr>
          <w:i/>
          <w:iCs/>
        </w:rPr>
        <w:t xml:space="preserve">Note on sources: figures below are drawn from Diamondback's own Q1 2026 and Q2 2025 releases/transcript, the company's published Q2 2026 guidance, market news digests, and Finnhub price data. Where I estimate, I flag it explicitly. I could not access third‑party sell‑side consensus, so treat the "Street" framing as guidance‑derived.</w:t>
      </w:r>
    </w:p>
    <w:p>
      <w:r>
        <w:pict>
          <v:rect style="width:0;height:1.5pt" o:hralign="center" o:hrstd="t" o:hr="t"/>
        </w:pict>
      </w:r>
    </w:p>
    <w:bookmarkStart w:id="9" w:name="Xffea4d93c8c5b5b3709e2cf6a543870e22acfe8"/>
    <w:p>
      <w:pPr>
        <w:pStyle w:val="Heading2"/>
      </w:pPr>
      <w:r>
        <w:t xml:space="preserve">The one thing that matters: this is the first</w:t>
      </w:r>
      <w:r>
        <w:t xml:space="preserve"> </w:t>
      </w:r>
      <w:r>
        <w:rPr>
          <w:i/>
          <w:iCs/>
        </w:rPr>
        <w:t xml:space="preserve">full</w:t>
      </w:r>
      <w:r>
        <w:t xml:space="preserve"> </w:t>
      </w:r>
      <w:r>
        <w:t xml:space="preserve">quarter of the oil-price shock</w:t>
      </w:r>
    </w:p>
    <w:p>
      <w:pPr>
        <w:pStyle w:val="FirstParagraph"/>
      </w:pPr>
      <w:r>
        <w:t xml:space="preserve">Diamondback is a pure-play Permian (Midland Basin) oil producer, so the print is almost entirely a function of one variable — the price of oil — and Q2 is the first clean quarter reflecting the post-February supply disruption.</w:t>
      </w:r>
    </w:p>
    <w:p>
      <w:pPr>
        <w:pStyle w:val="Compact"/>
        <w:numPr>
          <w:ilvl w:val="0"/>
          <w:numId w:val="1001"/>
        </w:numPr>
      </w:pPr>
      <w:r>
        <w:t xml:space="preserve">The U.S.–Israel war on Iran began</w:t>
      </w:r>
      <w:r>
        <w:t xml:space="preserve"> </w:t>
      </w:r>
      <w:r>
        <w:rPr>
          <w:b/>
          <w:bCs/>
        </w:rPr>
        <w:t xml:space="preserve">February 28, 2026</w:t>
      </w:r>
      <w:r>
        <w:t xml:space="preserve">, and the Strait of Hormuz — a conduit for ~20% of global oil/LNG — has been largely blockaded since. Brent rose **~24% in July alone**, trading near</w:t>
      </w:r>
      <w:r>
        <w:t xml:space="preserve"> </w:t>
      </w:r>
      <m:oMath>
        <m:r>
          <m:t>88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w</m:t>
        </m:r>
        <m:r>
          <m:t>i</m:t>
        </m:r>
        <m:r>
          <m:t>t</m:t>
        </m:r>
        <m:r>
          <m:t>h</m:t>
        </m:r>
        <m:r>
          <m:t>W</m:t>
        </m:r>
        <m:r>
          <m:t>T</m:t>
        </m:r>
        <m:r>
          <m:t>I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l</m:t>
        </m:r>
        <m:r>
          <m:t>o</m:t>
        </m:r>
        <m:r>
          <m:t>w</m:t>
        </m:r>
        <m:r>
          <m:rPr>
            <m:sty m:val="p"/>
          </m:rPr>
          <m:t>−</m:t>
        </m:r>
        <m:r>
          <m:t>t</m:t>
        </m:r>
        <m:r>
          <m:t>o</m:t>
        </m:r>
        <m:r>
          <m:rPr>
            <m:sty m:val="p"/>
          </m:rPr>
          <m:t>−</m:t>
        </m:r>
        <m:r>
          <m:t>m</m:t>
        </m:r>
        <m:r>
          <m:t>i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80s</w:t>
      </w:r>
      <w:r>
        <w:t xml:space="preserve"> </w:t>
      </w:r>
      <w:r>
        <w:t xml:space="preserve">heading into the print.</w:t>
      </w:r>
    </w:p>
    <w:p>
      <w:pPr>
        <w:pStyle w:val="Compact"/>
        <w:numPr>
          <w:ilvl w:val="0"/>
          <w:numId w:val="1001"/>
        </w:numPr>
      </w:pPr>
      <w:r>
        <w:t xml:space="preserve">Q1 2026 captured only ~one month of the spike; realized oil was</w:t>
      </w:r>
      <w:r>
        <w:t xml:space="preserve"> </w:t>
      </w:r>
      <w:r>
        <w:rPr>
          <w:b/>
          <w:bCs/>
        </w:rPr>
        <w:t xml:space="preserve">$73.47/bbl**. Q2 spans April–June, when management itself was describing **"$</w:t>
      </w:r>
      <w:r>
        <w:rPr>
          <w:b/>
          <w:bCs/>
        </w:rPr>
        <w:t xml:space="preserve">100 oil."</w:t>
      </w:r>
      <w:r>
        <w:t xml:space="preserve"> </w:t>
      </w:r>
      <w:r>
        <w:t xml:space="preserve">On the Q1 call, CEO Kaes Van't Hof called it</w:t>
      </w:r>
      <w:r>
        <w:t xml:space="preserve"> </w:t>
      </w:r>
      <w:r>
        <w:rPr>
          <w:i/>
          <w:iCs/>
        </w:rPr>
        <w:t xml:space="preserve">"the world's largest oil supply disruption in history."</w:t>
      </w:r>
    </w:p>
    <w:p>
      <w:pPr>
        <w:pStyle w:val="Compact"/>
        <w:numPr>
          <w:ilvl w:val="0"/>
          <w:numId w:val="1001"/>
        </w:numPr>
      </w:pPr>
      <w:r>
        <w:t xml:space="preserve">Peers already confirmed the windfall:</w:t>
      </w:r>
      <w:r>
        <w:t xml:space="preserve"> </w:t>
      </w:r>
      <w:r>
        <w:rPr>
          <w:b/>
          <w:bCs/>
        </w:rPr>
        <w:t xml:space="preserve">Exxon + Chevron booked a combined</w:t>
      </w:r>
      <w:r>
        <w:rPr>
          <w:b/>
          <w:bCs/>
        </w:rPr>
        <w:t xml:space="preserve"> </w:t>
      </w:r>
      <m:oMath>
        <m:r>
          <m:t>26.5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i</m:t>
        </m:r>
        <m:r>
          <m:t>n</m:t>
        </m:r>
        <m:r>
          <m:t>Q</m:t>
        </m:r>
        <m:r>
          <m:t>2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t>C</m:t>
        </m:r>
        <m:r>
          <m:t>h</m:t>
        </m:r>
        <m:r>
          <m:t>e</m:t>
        </m:r>
        <m:r>
          <m:t>v</m:t>
        </m:r>
        <m:r>
          <m:t>r</m:t>
        </m:r>
        <m:r>
          <m:t>o</m:t>
        </m:r>
        <m:sSup>
          <m:e>
            <m:r>
              <m:t>n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p</m:t>
        </m:r>
        <m:r>
          <m:t>r</m:t>
        </m:r>
        <m:r>
          <m:t>o</m:t>
        </m:r>
        <m:r>
          <m:t>f</m:t>
        </m:r>
        <m:r>
          <m:t>i</m:t>
        </m:r>
        <m:r>
          <m:t>t</m:t>
        </m:r>
        <m:r>
          <m:t>s</m:t>
        </m:r>
        <m:r>
          <m:t>s</m:t>
        </m:r>
        <m:r>
          <m:t>u</m:t>
        </m:r>
        <m:r>
          <m:t>r</m:t>
        </m:r>
        <m:r>
          <m:t>g</m:t>
        </m:r>
        <m:r>
          <m:t>i</m:t>
        </m:r>
        <m:r>
          <m:t>n</m:t>
        </m:r>
        <m:r>
          <m:t>g</m:t>
        </m:r>
        <m:r>
          <m:t>o</m:t>
        </m:r>
        <m:r>
          <m:t>n</m:t>
        </m:r>
        <m:r>
          <m:t>t</m:t>
        </m:r>
        <m:r>
          <m:t>h</m:t>
        </m:r>
        <m:r>
          <m:t>e</m:t>
        </m:r>
        <m:r>
          <m:t>h</m:t>
        </m:r>
        <m:r>
          <m:t>i</m:t>
        </m:r>
        <m:r>
          <m:t>g</m:t>
        </m:r>
        <m:r>
          <m:t>h</m:t>
        </m:r>
        <m:r>
          <m:t>e</m:t>
        </m:r>
        <m:r>
          <m:t>r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.</m:t>
        </m:r>
        <m:r>
          <m:t>F</m:t>
        </m:r>
        <m:r>
          <m:t>A</m:t>
        </m:r>
        <m:r>
          <m:t>N</m:t>
        </m:r>
        <m:r>
          <m:t>G</m:t>
        </m:r>
        <m:r>
          <m:t>s</m:t>
        </m:r>
        <m:r>
          <m:t>h</m:t>
        </m:r>
        <m:r>
          <m:t>o</m:t>
        </m:r>
        <m:r>
          <m:t>u</m:t>
        </m:r>
        <m:r>
          <m:t>l</m:t>
        </m:r>
        <m:r>
          <m:t>d</m:t>
        </m:r>
        <m:r>
          <m:t>s</m:t>
        </m:r>
        <m:r>
          <m:t>h</m:t>
        </m:r>
        <m:r>
          <m:t>o</m:t>
        </m:r>
        <m:r>
          <m:t>w</m:t>
        </m:r>
        <m:r>
          <m:t>t</m:t>
        </m:r>
        <m:r>
          <m:t>h</m:t>
        </m:r>
        <m:r>
          <m:t>e</m:t>
        </m:r>
        <m:r>
          <m:t>s</m:t>
        </m:r>
        <m:r>
          <m:t>a</m:t>
        </m:r>
        <m:r>
          <m:t>m</m:t>
        </m:r>
        <m:r>
          <m:t>e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t>a</m:t>
        </m:r>
        <m:r>
          <m:t>g</m:t>
        </m:r>
        <m:r>
          <m:t>e</m:t>
        </m:r>
        <m:r>
          <m:rPr>
            <m:sty m:val="p"/>
          </m:rPr>
          <m:t>,</m:t>
        </m:r>
        <m:r>
          <m:t>a</m:t>
        </m:r>
        <m:r>
          <m:t>m</m:t>
        </m:r>
        <m:r>
          <m:t>p</m:t>
        </m:r>
        <m:r>
          <m:t>l</m:t>
        </m:r>
        <m:r>
          <m:t>i</m:t>
        </m:r>
        <m:r>
          <m:t>f</m:t>
        </m:r>
        <m:r>
          <m:t>i</m:t>
        </m:r>
        <m:r>
          <m:t>e</m:t>
        </m:r>
        <m:r>
          <m:t>d</m:t>
        </m:r>
        <m:r>
          <m:t>b</m:t>
        </m:r>
        <m:r>
          <m:t>e</m:t>
        </m:r>
        <m:r>
          <m:t>c</m:t>
        </m:r>
        <m:r>
          <m:t>a</m:t>
        </m:r>
        <m:r>
          <m:t>u</m:t>
        </m:r>
        <m:r>
          <m:t>s</m:t>
        </m:r>
        <m:r>
          <m:t>e</m:t>
        </m:r>
        <m:r>
          <m:t>i</m:t>
        </m:r>
        <m:r>
          <m:t>t</m:t>
        </m:r>
        <m:r>
          <m:t>s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h</m:t>
        </m:r>
        <m:r>
          <m:t>e</m:t>
        </m:r>
        <m:r>
          <m:t>d</m:t>
        </m:r>
        <m:r>
          <m:t>g</m:t>
        </m:r>
        <m:r>
          <m:t>e</m:t>
        </m:r>
        <m:r>
          <m:t>b</m:t>
        </m:r>
        <m:r>
          <m:t>o</m:t>
        </m:r>
        <m:r>
          <m:t>o</m:t>
        </m:r>
        <m:r>
          <m:t>k</m:t>
        </m:r>
        <m:r>
          <m:t>i</m:t>
        </m:r>
        <m:r>
          <m:t>s</m:t>
        </m:r>
        <m:r>
          <m:t>a</m:t>
        </m:r>
        <m:r>
          <m:t>l</m:t>
        </m:r>
        <m:r>
          <m:t>m</m:t>
        </m:r>
        <m:r>
          <m:t>o</m:t>
        </m:r>
        <m:r>
          <m:t>s</m:t>
        </m:r>
        <m:r>
          <m:t>t</m:t>
        </m:r>
        <m:r>
          <m:t>e</m:t>
        </m:r>
        <m:r>
          <m:t>n</m:t>
        </m:r>
        <m:r>
          <m:t>t</m:t>
        </m:r>
        <m:r>
          <m:t>i</m:t>
        </m:r>
        <m:r>
          <m:t>r</m:t>
        </m:r>
        <m:r>
          <m:t>e</m:t>
        </m:r>
        <m:r>
          <m:t>l</m:t>
        </m:r>
        <m:r>
          <m:t>y</m:t>
        </m:r>
        <m:r>
          <m:t>l</m:t>
        </m:r>
        <m:r>
          <m:t>o</m:t>
        </m:r>
        <m:r>
          <m:t>n</m:t>
        </m:r>
        <m:r>
          <m:t>g</m:t>
        </m:r>
        <m:r>
          <m:t>p</m:t>
        </m:r>
        <m:r>
          <m:t>u</m:t>
        </m:r>
        <m:r>
          <m:t>t</m:t>
        </m:r>
        <m:r>
          <m:t>s</m:t>
        </m:r>
        <m:r>
          <m:rPr>
            <m:sty m:val="p"/>
          </m:rPr>
          <m:t>(</m:t>
        </m:r>
        <m:r>
          <m:t>f</m:t>
        </m:r>
        <m:r>
          <m:t>l</m:t>
        </m:r>
        <m:r>
          <m:t>o</m:t>
        </m:r>
        <m:r>
          <m:t>o</m:t>
        </m:r>
        <m:r>
          <m:t>r</m:t>
        </m:r>
        <m:r>
          <m:t>s</m:t>
        </m:r>
        <m:r>
          <m:t>a</m:t>
        </m:r>
        <m:r>
          <m:t>t</m:t>
        </m:r>
        <m:r>
          <m:t> </m:t>
        </m:r>
      </m:oMath>
      <w:r>
        <w:rPr>
          <w:b/>
          <w:bCs/>
        </w:rPr>
        <w:t xml:space="preserve">50–52.50), not collars — so it keeps essentially all of the upside.</w:t>
      </w:r>
    </w:p>
    <w:p>
      <w:pPr>
        <w:pStyle w:val="FirstParagraph"/>
      </w:pPr>
      <w:r>
        <w:rPr>
          <w:b/>
          <w:bCs/>
        </w:rPr>
        <w:t xml:space="preserve">Bottom line:</w:t>
      </w:r>
      <w:r>
        <w:t xml:space="preserve"> </w:t>
      </w:r>
      <w:r>
        <w:t xml:space="preserve">barring an operational miss, Q2 should be a free-cash-flow gusher. The debate is less about the quarter than about (1) what management does with the cash and (2) whether the macro tailwind is already peaking.</w:t>
      </w:r>
    </w:p>
    <w:p>
      <w:r>
        <w:pict>
          <v:rect style="width:0;height:1.5pt" o:hralign="center" o:hrstd="t" o:hr="t"/>
        </w:pict>
      </w:r>
    </w:p>
    <w:bookmarkEnd w:id="9"/>
    <w:bookmarkStart w:id="10" w:name="what-the-guidance-implies-for-q2"/>
    <w:p>
      <w:pPr>
        <w:pStyle w:val="Heading2"/>
      </w:pPr>
      <w:r>
        <w:t xml:space="preserve">What the guidance implies for Q2</w:t>
      </w:r>
    </w:p>
    <w:p>
      <w:pPr>
        <w:pStyle w:val="FirstParagraph"/>
      </w:pPr>
      <w:r>
        <w:t xml:space="preserve">FANG raised its outlook alongside Q1 results. The Q2-specific guide: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 2026 Guide</w:t>
            </w:r>
          </w:p>
        </w:tc>
        <w:tc>
          <w:tcPr/>
          <w:p>
            <w:pPr>
              <w:pStyle w:val="Compact"/>
            </w:pPr>
            <w:r>
              <w:t xml:space="preserve">Q1 2026 Actual</w:t>
            </w:r>
          </w:p>
        </w:tc>
        <w:tc>
          <w:tcPr/>
          <w:p>
            <w:pPr>
              <w:pStyle w:val="Compact"/>
            </w:pPr>
            <w:r>
              <w:t xml:space="preserve">Q2 2025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Oil (MBO/d)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515–525</w:t>
            </w:r>
          </w:p>
        </w:tc>
        <w:tc>
          <w:tcPr/>
          <w:p>
            <w:pPr>
              <w:pStyle w:val="Compact"/>
            </w:pPr>
            <w:r>
              <w:t xml:space="preserve">521.0</w:t>
            </w:r>
          </w:p>
        </w:tc>
        <w:tc>
          <w:tcPr/>
          <w:p>
            <w:pPr>
              <w:pStyle w:val="Compact"/>
            </w:pPr>
            <w:r>
              <w:t xml:space="preserve">495.7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(MBOE/d)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950–990</w:t>
            </w:r>
          </w:p>
        </w:tc>
        <w:tc>
          <w:tcPr/>
          <w:p>
            <w:pPr>
              <w:pStyle w:val="Compact"/>
            </w:pPr>
            <w:r>
              <w:t xml:space="preserve">979.4</w:t>
            </w:r>
          </w:p>
        </w:tc>
        <w:tc>
          <w:tcPr/>
          <w:p>
            <w:pPr>
              <w:pStyle w:val="Compact"/>
            </w:pPr>
            <w:r>
              <w:t xml:space="preserve">919.9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capex ($M)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$925–1,025</w:t>
            </w:r>
          </w:p>
        </w:tc>
        <w:tc>
          <w:tcPr/>
          <w:p>
            <w:pPr>
              <w:pStyle w:val="Compact"/>
            </w:pPr>
            <w:r>
              <w:t xml:space="preserve">$933</w:t>
            </w:r>
          </w:p>
        </w:tc>
        <w:tc>
          <w:tcPr/>
          <w:p>
            <w:pPr>
              <w:pStyle w:val="Compact"/>
            </w:pPr>
            <w:r>
              <w:t xml:space="preserve">$864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Realized oil ($/bbl)</w:t>
            </w:r>
          </w:p>
        </w:tc>
        <w:tc>
          <w:tcPr/>
          <w:p>
            <w:pPr>
              <w:pStyle w:val="Compact"/>
            </w:pPr>
            <w:r>
              <w:rPr>
                <w:i/>
                <w:iCs/>
              </w:rPr>
              <w:t xml:space="preserve">(price-driven)</w:t>
            </w:r>
          </w:p>
        </w:tc>
        <w:tc>
          <w:tcPr/>
          <w:p>
            <w:pPr>
              <w:pStyle w:val="Compact"/>
            </w:pPr>
            <w:r>
              <w:t xml:space="preserve">$73.47</w:t>
            </w:r>
          </w:p>
        </w:tc>
        <w:tc>
          <w:tcPr/>
          <w:p>
            <w:pPr>
              <w:pStyle w:val="Compact"/>
            </w:pPr>
            <w:r>
              <w:t xml:space="preserve">$63.23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net income / sh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$4.23</w:t>
            </w:r>
          </w:p>
        </w:tc>
        <w:tc>
          <w:tcPr/>
          <w:p>
            <w:pPr>
              <w:pStyle w:val="Compact"/>
            </w:pPr>
            <w:r>
              <w:t xml:space="preserve">$2.67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$1.71B</w:t>
            </w:r>
          </w:p>
        </w:tc>
        <w:tc>
          <w:tcPr/>
          <w:p>
            <w:pPr>
              <w:pStyle w:val="Compact"/>
            </w:pPr>
            <w:r>
              <w:t xml:space="preserve">$1.24B</w:t>
            </w:r>
          </w:p>
        </w:tc>
      </w:tr>
    </w:tbl>
    <w:p>
      <w:pPr>
        <w:pStyle w:val="BodyText"/>
      </w:pPr>
      <w:r>
        <w:rPr>
          <w:b/>
          <w:bCs/>
        </w:rPr>
        <w:t xml:space="preserve">My rough revenue math:</w:t>
      </w:r>
      <w:r>
        <w:t xml:space="preserve"> </w:t>
      </w:r>
      <w:r>
        <w:t xml:space="preserve">~520 MBO/d × 91 days ≈</w:t>
      </w:r>
      <w:r>
        <w:t xml:space="preserve"> </w:t>
      </w:r>
      <w:r>
        <w:rPr>
          <w:b/>
          <w:bCs/>
        </w:rPr>
        <w:t xml:space="preserve">47.3 MMbbl of oil</w:t>
      </w:r>
      <w:r>
        <w:t xml:space="preserve">. At an</w:t>
      </w:r>
      <w:r>
        <w:t xml:space="preserve"> </w:t>
      </w:r>
      <m:oMath>
        <m:r>
          <m:t>85</m:t>
        </m:r>
        <m:r>
          <m:rPr>
            <m:sty m:val="p"/>
          </m:rPr>
          <m:t>–</m:t>
        </m:r>
        <m:r>
          <m:t>95</m:t>
        </m:r>
        <m:r>
          <m:t>r</m:t>
        </m:r>
        <m:r>
          <m:t>e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d</m:t>
        </m:r>
        <m:r>
          <m:t>b</m:t>
        </m:r>
        <m:r>
          <m:t>a</m:t>
        </m:r>
        <m:r>
          <m:t>n</m:t>
        </m:r>
        <m:r>
          <m:t>d</m:t>
        </m:r>
        <m:r>
          <m:rPr>
            <m:sty m:val="p"/>
          </m:rPr>
          <m:t>,</m:t>
        </m:r>
        <m:r>
          <m:t>o</m:t>
        </m:r>
        <m:r>
          <m:t>i</m:t>
        </m:r>
        <m:r>
          <m:t>l</m:t>
        </m:r>
        <m:r>
          <m:t>s</m:t>
        </m:r>
        <m:r>
          <m:t>a</m:t>
        </m:r>
        <m:r>
          <m:t>l</m:t>
        </m:r>
        <m:r>
          <m:t>e</m:t>
        </m:r>
        <m:r>
          <m:t>s</m:t>
        </m:r>
        <m:r>
          <m:t>a</m:t>
        </m:r>
        <m:r>
          <m:t>l</m:t>
        </m:r>
        <m:r>
          <m:t>o</m:t>
        </m:r>
        <m:r>
          <m:t>n</m:t>
        </m:r>
        <m:r>
          <m:t>e</m:t>
        </m:r>
        <m:r>
          <m:t>r</m:t>
        </m:r>
        <m:r>
          <m:t>u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</m:oMath>
      <w:r>
        <w:t xml:space="preserve">4.0–4.5B**, with total O&amp;G sales plausibly **~$4.6–5.0B** — up from $3.83B in Q1 and</w:t>
      </w:r>
      <w:r>
        <w:t xml:space="preserve"> </w:t>
      </w:r>
      <m:oMath>
        <m:r>
          <m:t>3.32</m:t>
        </m:r>
        <m:r>
          <m:t>B</m:t>
        </m:r>
        <m:r>
          <m:t>i</m:t>
        </m:r>
        <m:r>
          <m:t>n</m:t>
        </m:r>
        <m:r>
          <m:t>Q</m:t>
        </m:r>
        <m:sSup>
          <m:e>
            <m:r>
              <m:t>2</m:t>
            </m:r>
          </m:e>
          <m:sup>
            <m:r>
              <m:rPr>
                <m:sty m:val="p"/>
              </m:rPr>
              <m:t>′</m:t>
            </m:r>
          </m:sup>
        </m:sSup>
        <m:r>
          <m:t>25</m:t>
        </m:r>
        <m:r>
          <m:rPr>
            <m:sty m:val="p"/>
          </m:rPr>
          <m:t>.</m:t>
        </m:r>
        <m:r>
          <m:t>T</m:t>
        </m:r>
        <m:r>
          <m:t>h</m:t>
        </m:r>
        <m:r>
          <m:t>a</m:t>
        </m:r>
        <m:r>
          <m:t>t</m:t>
        </m:r>
        <m:r>
          <m:t>s</m:t>
        </m:r>
        <m:r>
          <m:t>e</m:t>
        </m:r>
        <m:r>
          <m:t>t</m:t>
        </m:r>
        <m:r>
          <m:t>s</m:t>
        </m:r>
        <m:r>
          <m:t>u</m:t>
        </m:r>
        <m:r>
          <m:t>p</m:t>
        </m:r>
        <m:r>
          <m:t>a</m:t>
        </m:r>
        <m:r>
          <m:t>l</m:t>
        </m:r>
        <m:r>
          <m:t>i</m:t>
        </m:r>
        <m:r>
          <m:t>k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s</m:t>
        </m:r>
        <m:r>
          <m:t>t</m:t>
        </m:r>
        <m:r>
          <m:t>e</m:t>
        </m:r>
        <m:r>
          <m:t>p</m:t>
        </m:r>
        <m:r>
          <m:rPr>
            <m:sty m:val="p"/>
          </m:rPr>
          <m:t>−</m:t>
        </m:r>
        <m:r>
          <m:t>u</m:t>
        </m:r>
        <m:r>
          <m:t>p</m:t>
        </m:r>
        <m:r>
          <m:t>i</m:t>
        </m:r>
        <m:r>
          <m:t>n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t</m:t>
        </m:r>
        <m:r>
          <m:t>o</m:t>
        </m:r>
        <m:r>
          <m:t>w</m:t>
        </m:r>
        <m:r>
          <m:t>a</m:t>
        </m:r>
        <m:r>
          <m:t>r</m:t>
        </m:r>
        <m:r>
          <m:t>d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6 range and FCF comfortably above Q1's $1.7B** (my estimates, not consensus). Watch the actual</w:t>
      </w:r>
      <w:r>
        <w:t xml:space="preserve"> </w:t>
      </w:r>
      <w:r>
        <w:rPr>
          <w:b/>
          <w:bCs/>
        </w:rPr>
        <w:t xml:space="preserve">realized oil price</w:t>
      </w:r>
      <w:r>
        <w:t xml:space="preserve"> </w:t>
      </w:r>
      <w:r>
        <w:t xml:space="preserve">closely — FANG's water-borne marketing (EPIC/Gray Oak to Corpus, Wink-to-Webster to Houston, ~400 Mbbl/d total, one small Dated Brent contract) tilts it toward premium, Brent-linked pricing.</w:t>
      </w:r>
    </w:p>
    <w:p>
      <w:r>
        <w:pict>
          <v:rect style="width:0;height:1.5pt" o:hralign="center" o:hrstd="t" o:hr="t"/>
        </w:pict>
      </w:r>
    </w:p>
    <w:bookmarkEnd w:id="10"/>
    <w:bookmarkStart w:id="11" w:name="key-questions-for-the-print--call"/>
    <w:p>
      <w:pPr>
        <w:pStyle w:val="Heading2"/>
      </w:pPr>
      <w:r>
        <w:t xml:space="preserve">Key questions for the print &amp; call</w:t>
      </w:r>
    </w:p>
    <w:p>
      <w:pPr>
        <w:pStyle w:val="FirstParagraph"/>
      </w:pPr>
      <w:r>
        <w:rPr>
          <w:b/>
          <w:bCs/>
        </w:rPr>
        <w:t xml:space="preserve">1. Capital return — the framework just changed.</w:t>
      </w:r>
      <w:r>
        <w:t xml:space="preserve"> </w:t>
      </w:r>
      <w:r>
        <w:t xml:space="preserve">Diamondback</w:t>
      </w:r>
      <w:r>
        <w:t xml:space="preserve"> </w:t>
      </w:r>
      <w:r>
        <w:rPr>
          <w:b/>
          <w:bCs/>
        </w:rPr>
        <w:t xml:space="preserve">moved off its formulaic ~50%-of-FCF payout</w:t>
      </w:r>
      <w:r>
        <w:t xml:space="preserve"> </w:t>
      </w:r>
      <w:r>
        <w:t xml:space="preserve">in Q1, keeping the flexibility to be "more cyclical." It **raised the base dividend 10% YoY to</w:t>
      </w:r>
      <w:r>
        <w:t xml:space="preserve"> </w:t>
      </w:r>
      <m:oMath>
        <m:r>
          <m:t>1.10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b</m:t>
        </m:r>
        <m:r>
          <m:t>u</m:t>
        </m:r>
        <m:r>
          <m:t>t</m:t>
        </m:r>
        <m:r>
          <m:t>s</m:t>
        </m:r>
        <m:r>
          <m:t>l</m:t>
        </m:r>
        <m:r>
          <m:t>o</m:t>
        </m:r>
        <m:r>
          <m:t>w</m:t>
        </m:r>
        <m:r>
          <m:t>e</m:t>
        </m:r>
        <m:r>
          <m:t>d</m:t>
        </m:r>
        <m:r>
          <m:t>b</m:t>
        </m:r>
        <m:r>
          <m:t>u</m:t>
        </m:r>
        <m:r>
          <m:t>y</m:t>
        </m:r>
        <m:r>
          <m:t>b</m:t>
        </m:r>
        <m:r>
          <m:t>a</m:t>
        </m:r>
        <m:r>
          <m:t>c</m:t>
        </m:r>
        <m:r>
          <m:t>k</m:t>
        </m:r>
        <m:r>
          <m:t>s</m:t>
        </m:r>
        <m:r>
          <m:rPr>
            <m:sty m:val="p"/>
          </m:rPr>
          <m:t>.</m:t>
        </m:r>
        <m:r>
          <m:t>W</m:t>
        </m:r>
        <m:r>
          <m:t>i</m:t>
        </m:r>
        <m:r>
          <m:t>t</m:t>
        </m:r>
        <m:r>
          <m:t>h</m:t>
        </m:r>
        <m:r>
          <m:t>t</m:t>
        </m:r>
        <m:r>
          <m:t>h</m:t>
        </m:r>
        <m:r>
          <m:t>e</m:t>
        </m:r>
        <m:r>
          <m:t>s</m:t>
        </m:r>
        <m:r>
          <m:t>t</m:t>
        </m:r>
        <m:r>
          <m:t>o</m:t>
        </m:r>
        <m:r>
          <m:t>c</m:t>
        </m:r>
        <m:r>
          <m:t>k</m:t>
        </m:r>
        <m:r>
          <m:t>u</m:t>
        </m:r>
        <m:r>
          <m:t>p</m:t>
        </m:r>
        <m:r>
          <m:t> </m:t>
        </m:r>
        <m:r>
          <m:t>39</m:t>
        </m:r>
      </m:oMath>
      <w:r>
        <w:t xml:space="preserve">203 on July 31 vs. a 52-week low around $134), management signaled it would</w:t>
      </w:r>
      <w:r>
        <w:t xml:space="preserve"> </w:t>
      </w:r>
      <w:r>
        <w:rPr>
          <w:b/>
          <w:bCs/>
        </w:rPr>
        <w:t xml:space="preserve">prioritize debt reduction and hoarding cash over aggressive repurchases at these prices.</w:t>
      </w:r>
      <w:r>
        <w:t xml:space="preserve"> </w:t>
      </w:r>
      <w:r>
        <w:t xml:space="preserve">Watch for any change in tone if the stock has run.</w:t>
      </w:r>
    </w:p>
    <w:p>
      <w:pPr>
        <w:pStyle w:val="BodyText"/>
      </w:pPr>
      <w:r>
        <w:rPr>
          <w:b/>
          <w:bCs/>
        </w:rPr>
        <w:t xml:space="preserve">2. Debt paydown / the "fortress" balance sheet.</w:t>
      </w:r>
      <w:r>
        <w:t xml:space="preserve"> </w:t>
      </w:r>
      <w:r>
        <w:t xml:space="preserve">Pro-forma gross debt was</w:t>
      </w:r>
      <w:r>
        <w:t xml:space="preserve"> </w:t>
      </w:r>
      <w:r>
        <w:rPr>
          <w:b/>
          <w:bCs/>
        </w:rPr>
        <w:t xml:space="preserve">~$12.7B</w:t>
      </w:r>
      <w:r>
        <w:t xml:space="preserve"> </w:t>
      </w:r>
      <w:r>
        <w:t xml:space="preserve">at end-April; consolidated net debt was</w:t>
      </w:r>
      <w:r>
        <w:t xml:space="preserve"> </w:t>
      </w:r>
      <m:oMath>
        <m:r>
          <m:t>13.9</m:t>
        </m:r>
        <m:r>
          <m:t>B</m:t>
        </m:r>
        <m:r>
          <m:rPr>
            <m:sty m:val="p"/>
          </m:rPr>
          <m:t>.</m:t>
        </m:r>
        <m:r>
          <m:t>C</m:t>
        </m:r>
        <m:r>
          <m:t>F</m:t>
        </m:r>
        <m:r>
          <m:t>O</m:t>
        </m:r>
        <m:r>
          <m:t>J</m:t>
        </m:r>
        <m:r>
          <m:t>e</m:t>
        </m:r>
        <m:r>
          <m:t>r</m:t>
        </m:r>
        <m:r>
          <m:t>e</m:t>
        </m:r>
        <m:r>
          <m:t>T</m:t>
        </m:r>
        <m:r>
          <m:t>h</m:t>
        </m:r>
        <m:r>
          <m:t>o</m:t>
        </m:r>
        <m:r>
          <m:t>m</m:t>
        </m:r>
        <m:r>
          <m:t>p</m:t>
        </m:r>
        <m:r>
          <m:t>s</m:t>
        </m:r>
        <m:r>
          <m:t>o</m:t>
        </m:r>
        <m:r>
          <m:t>n</m:t>
        </m:r>
        <m:r>
          <m:t>s</m:t>
        </m:r>
        <m:r>
          <m:t>a</m:t>
        </m:r>
        <m:r>
          <m:t>i</m:t>
        </m:r>
        <m:r>
          <m:t>d</m:t>
        </m:r>
        <m:r>
          <m:t>t</m:t>
        </m:r>
        <m:r>
          <m:t>h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10B net-debt target — originally 12–18 months out — could be hit "a couple of months from now,"** i.e., potentially</w:t>
      </w:r>
      <w:r>
        <w:t xml:space="preserve"> </w:t>
      </w:r>
      <w:r>
        <w:rPr>
          <w:i/>
          <w:iCs/>
        </w:rPr>
        <w:t xml:space="preserve">this quarter</w:t>
      </w:r>
      <w:r>
        <w:t xml:space="preserve">. Also flagged: calling the</w:t>
      </w:r>
      <w:r>
        <w:t xml:space="preserve"> </w:t>
      </w:r>
      <w:r>
        <w:rPr>
          <w:b/>
          <w:bCs/>
        </w:rPr>
        <w:t xml:space="preserve">$750M of 2026 notes</w:t>
      </w:r>
      <w:r>
        <w:t xml:space="preserve"> </w:t>
      </w:r>
      <w:r>
        <w:t xml:space="preserve">and a larger liability-management exercise later in the year. A materially lower net-debt figure and a fresh, lower target would be the headline.</w:t>
      </w:r>
    </w:p>
    <w:p>
      <w:pPr>
        <w:pStyle w:val="BodyText"/>
      </w:pPr>
      <w:r>
        <w:rPr>
          <w:b/>
          <w:bCs/>
        </w:rPr>
        <w:t xml:space="preserve">3. Do they raise activity/production again?</w:t>
      </w:r>
      <w:r>
        <w:t xml:space="preserve"> </w:t>
      </w:r>
      <w:r>
        <w:t xml:space="preserve">FANG went to a</w:t>
      </w:r>
      <w:r>
        <w:t xml:space="preserve"> </w:t>
      </w:r>
      <w:r>
        <w:rPr>
          <w:b/>
          <w:bCs/>
        </w:rPr>
        <w:t xml:space="preserve">"green light" framework</w:t>
      </w:r>
      <w:r>
        <w:t xml:space="preserve"> </w:t>
      </w:r>
      <w:r>
        <w:t xml:space="preserve">in Q1, adding 2–3 rigs (largely Barnett/JV, ~1.5 net) and a 5th frac crew, lifting full-year oil guide to</w:t>
      </w:r>
      <w:r>
        <w:t xml:space="preserve"> </w:t>
      </w:r>
      <w:r>
        <w:rPr>
          <w:b/>
          <w:bCs/>
        </w:rPr>
        <w:t xml:space="preserve">520+ MBO/d (from 500–510)</w:t>
      </w:r>
      <w:r>
        <w:t xml:space="preserve"> </w:t>
      </w:r>
      <w:r>
        <w:t xml:space="preserve">and capex to **~$3.9B**. Management said it will take growth "quarter-by-quarter" and would</w:t>
      </w:r>
      <w:r>
        <w:t xml:space="preserve"> </w:t>
      </w:r>
      <w:r>
        <w:rPr>
          <w:b/>
          <w:bCs/>
        </w:rPr>
        <w:t xml:space="preserve">let production climb rather than curtail if triple-digit oil persists.</w:t>
      </w:r>
      <w:r>
        <w:t xml:space="preserve"> </w:t>
      </w:r>
      <w:r>
        <w:t xml:space="preserve">Any further guidance bump — or a signaled 2027 organic growth path — is the key operational swing factor.</w:t>
      </w:r>
    </w:p>
    <w:p>
      <w:pPr>
        <w:pStyle w:val="BodyText"/>
      </w:pPr>
      <w:r>
        <w:rPr>
          <w:b/>
          <w:bCs/>
        </w:rPr>
        <w:t xml:space="preserve">4. Natural gas / Waha is a real drag.</w:t>
      </w:r>
      <w:r>
        <w:t xml:space="preserve"> </w:t>
      </w:r>
      <w:r>
        <w:t xml:space="preserve">In-basin gas is</w:t>
      </w:r>
      <w:r>
        <w:t xml:space="preserve"> </w:t>
      </w:r>
      <w:r>
        <w:rPr>
          <w:b/>
          <w:bCs/>
        </w:rPr>
        <w:t xml:space="preserve">deeply negative</w:t>
      </w:r>
      <w:r>
        <w:t xml:space="preserve"> </w:t>
      </w:r>
      <w:r>
        <w:t xml:space="preserve">(Q1 realized gas</w:t>
      </w:r>
      <w:r>
        <w:t xml:space="preserve"> </w:t>
      </w:r>
      <m:oMath>
        <m:r>
          <m:t>0.18</m:t>
        </m:r>
        <m:r>
          <m:rPr>
            <m:sty m:val="p"/>
          </m:rPr>
          <m:t>/</m:t>
        </m:r>
        <m:r>
          <m:t>M</m:t>
        </m:r>
        <m:r>
          <m:t>c</m:t>
        </m:r>
        <m:r>
          <m:t>f</m:t>
        </m:r>
        <m:r>
          <m:rPr>
            <m:sty m:val="p"/>
          </m:rPr>
          <m:t>;</m:t>
        </m:r>
        <m:r>
          <m:t>W</m:t>
        </m:r>
        <m:r>
          <m:t>a</m:t>
        </m:r>
        <m:r>
          <m:t>h</m:t>
        </m:r>
        <m:r>
          <m:t>a</m:t>
        </m:r>
        <m:r>
          <m:t>b</m:t>
        </m:r>
        <m:r>
          <m:t>a</m:t>
        </m:r>
        <m:r>
          <m:t>s</m:t>
        </m:r>
        <m:r>
          <m:t>i</m:t>
        </m:r>
        <m:r>
          <m:t>s</m:t>
        </m:r>
        <m:r>
          <m:t>b</m:t>
        </m:r>
        <m:r>
          <m:t>l</m:t>
        </m:r>
        <m:r>
          <m:t>o</m:t>
        </m:r>
        <m:r>
          <m:t>w</m:t>
        </m:r>
        <m:r>
          <m:t>n</m:t>
        </m:r>
        <m:r>
          <m:t>o</m:t>
        </m:r>
        <m:r>
          <m:t>u</m:t>
        </m:r>
        <m:r>
          <m:t>t</m:t>
        </m:r>
        <m:r>
          <m:rPr>
            <m:sty m:val="p"/>
          </m:rPr>
          <m:t>)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t>n</m:t>
        </m:r>
        <m:r>
          <m:t>e</m:t>
        </m:r>
        <m:r>
          <m:t>g</m:t>
        </m:r>
        <m:r>
          <m:t>a</m:t>
        </m:r>
        <m:r>
          <m:t>t</m:t>
        </m:r>
        <m:r>
          <m:t>i</m:t>
        </m:r>
        <m:r>
          <m:t>v</m:t>
        </m:r>
        <m:r>
          <m:t>e</m:t>
        </m:r>
        <m:r>
          <m:rPr>
            <m:sty m:val="p"/>
          </m:rPr>
          <m:t>−</m:t>
        </m:r>
      </m:oMath>
      <w:r>
        <w:t xml:space="preserve">3 Waha wipes out NGL value; every molecule is still flowing (protected by financial + physical hedges), but it's an economic headwind. Watch for updates on the</w:t>
      </w:r>
      <w:r>
        <w:t xml:space="preserve"> </w:t>
      </w:r>
      <w:r>
        <w:rPr>
          <w:b/>
          <w:bCs/>
        </w:rPr>
        <w:t xml:space="preserve">two new gas pipelines (expected 2H26)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power/data-center project</w:t>
      </w:r>
      <w:r>
        <w:t xml:space="preserve"> </w:t>
      </w:r>
      <w:r>
        <w:t xml:space="preserve">to monetize in-basin gas.</w:t>
      </w:r>
    </w:p>
    <w:p>
      <w:pPr>
        <w:pStyle w:val="BodyText"/>
      </w:pPr>
      <w:r>
        <w:rPr>
          <w:b/>
          <w:bCs/>
        </w:rPr>
        <w:t xml:space="preserve">5. Service-cost inflation.</w:t>
      </w:r>
      <w:r>
        <w:t xml:space="preserve"> </w:t>
      </w:r>
      <w:r>
        <w:t xml:space="preserve">As of Q1, FANG saw</w:t>
      </w:r>
      <w:r>
        <w:t xml:space="preserve"> </w:t>
      </w:r>
      <w:r>
        <w:rPr>
          <w:b/>
          <w:bCs/>
        </w:rPr>
        <w:t xml:space="preserve">little OFS inflation</w:t>
      </w:r>
      <w:r>
        <w:t xml:space="preserve"> </w:t>
      </w:r>
      <w:r>
        <w:t xml:space="preserve">— but flagged the Permian rig count could rise</w:t>
      </w:r>
      <w:r>
        <w:t xml:space="preserve"> </w:t>
      </w:r>
      <w:r>
        <w:rPr>
          <w:b/>
          <w:bCs/>
        </w:rPr>
        <w:t xml:space="preserve">+25–30 rigs by year-end</w:t>
      </w:r>
      <w:r>
        <w:t xml:space="preserve"> </w:t>
      </w:r>
      <w:r>
        <w:t xml:space="preserve">as privates respond to high prices. Any early signs of cost creep matter for 2H26 capital efficiency.</w:t>
      </w:r>
    </w:p>
    <w:p>
      <w:pPr>
        <w:pStyle w:val="BodyText"/>
      </w:pPr>
      <w:r>
        <w:rPr>
          <w:b/>
          <w:bCs/>
        </w:rPr>
        <w:t xml:space="preserve">6. Viper Energy (VNOM) &amp; M&amp;A.</w:t>
      </w:r>
      <w:r>
        <w:t xml:space="preserve"> </w:t>
      </w:r>
      <w:r>
        <w:t xml:space="preserve">FANG owns</w:t>
      </w:r>
      <w:r>
        <w:t xml:space="preserve"> </w:t>
      </w:r>
      <w:r>
        <w:rPr>
          <w:b/>
          <w:bCs/>
        </w:rPr>
        <w:t xml:space="preserve">~39% of Viper</w:t>
      </w:r>
      <w:r>
        <w:t xml:space="preserve"> </w:t>
      </w:r>
      <w:r>
        <w:t xml:space="preserve">post-Sitio; management said it's</w:t>
      </w:r>
      <w:r>
        <w:t xml:space="preserve"> </w:t>
      </w:r>
      <w:r>
        <w:rPr>
          <w:b/>
          <w:bCs/>
        </w:rPr>
        <w:t xml:space="preserve">"done selling"</w:t>
      </w:r>
      <w:r>
        <w:t xml:space="preserve"> </w:t>
      </w:r>
      <w:r>
        <w:t xml:space="preserve">Viper shares and sees M&amp;A as "fairly quiet" given deal-making difficulty amid volatility. Viper's guidance (64.5–66.5 MBO/d oil) is embedded in results via minority interest.</w:t>
      </w:r>
    </w:p>
    <w:p>
      <w:r>
        <w:pict>
          <v:rect style="width:0;height:1.5pt" o:hralign="center" o:hrstd="t" o:hr="t"/>
        </w:pict>
      </w:r>
    </w:p>
    <w:bookmarkEnd w:id="11"/>
    <w:bookmarkStart w:id="12" w:name="the-bull-vs-bear-setup-into-the-print"/>
    <w:p>
      <w:pPr>
        <w:pStyle w:val="Heading2"/>
      </w:pPr>
      <w:r>
        <w:t xml:space="preserve">The bull vs. bear setup into the print</w:t>
      </w:r>
    </w:p>
    <w:p>
      <w:pPr>
        <w:pStyle w:val="FirstParagraph"/>
      </w:pPr>
      <w:r>
        <w:rPr>
          <w:b/>
          <w:bCs/>
        </w:rPr>
        <w:t xml:space="preserve">Bull case:</w:t>
      </w:r>
      <w:r>
        <w:t xml:space="preserve"> </w:t>
      </w:r>
      <w:r>
        <w:t xml:space="preserve">Full quarter of ~$90 oil + full upside participation (puts, not collars) + best-in-basin cost structure = record/near-record FCF per share; net debt hits $10B early; optionality to grow into a supply-short market from advantaged Midland inventory.</w:t>
      </w:r>
    </w:p>
    <w:p>
      <w:pPr>
        <w:pStyle w:val="BodyText"/>
      </w:pPr>
      <w:r>
        <w:rPr>
          <w:b/>
          <w:bCs/>
        </w:rPr>
        <w:t xml:space="preserve">Bear/risk case — and the timing is delicate:</w:t>
      </w:r>
      <w:r>
        <w:t xml:space="preserve"> </w:t>
      </w:r>
      <w:r>
        <w:t xml:space="preserve">The report lands</w:t>
      </w:r>
      <w:r>
        <w:t xml:space="preserve"> </w:t>
      </w:r>
      <w:r>
        <w:rPr>
          <w:b/>
          <w:bCs/>
        </w:rPr>
        <w:t xml:space="preserve">exactly as the geopolitical premium wobbles.</w:t>
      </w:r>
      <w:r>
        <w:t xml:space="preserve"> </w:t>
      </w:r>
      <w:r>
        <w:t xml:space="preserve">On</w:t>
      </w:r>
      <w:r>
        <w:t xml:space="preserve"> </w:t>
      </w:r>
      <w:r>
        <w:rPr>
          <w:b/>
          <w:bCs/>
        </w:rPr>
        <w:t xml:space="preserve">August 2, oil fell ~4.5% (WTI to ~$80.89)</w:t>
      </w:r>
      <w:r>
        <w:t xml:space="preserve"> </w:t>
      </w:r>
      <w:r>
        <w:t xml:space="preserve">after President Trump called off a planned Iran strike, with</w:t>
      </w:r>
      <w:r>
        <w:t xml:space="preserve"> </w:t>
      </w:r>
      <w:r>
        <w:rPr>
          <w:b/>
          <w:bCs/>
        </w:rPr>
        <w:t xml:space="preserve">talks scheduled to begin Monday, August 3 — the same day FANG reports</w:t>
      </w:r>
      <w:r>
        <w:t xml:space="preserve"> </w:t>
      </w:r>
      <w:r>
        <w:t xml:space="preserve">— reportedly aimed at reopening Hormuz. A credible de-escalation would compress the very price premium driving the quarter. Layer on</w:t>
      </w:r>
      <w:r>
        <w:t xml:space="preserve"> </w:t>
      </w:r>
      <w:r>
        <w:rPr>
          <w:b/>
          <w:bCs/>
        </w:rPr>
        <w:t xml:space="preserve">negative Waha gas, potential OFS inflation, the Q1 $1.4B impairment</w:t>
      </w:r>
      <w:r>
        <w:t xml:space="preserve"> </w:t>
      </w:r>
      <w:r>
        <w:t xml:space="preserve">(a reminder of how weak late-2025 prices were — Q4'25 realized oil was just $58), the</w:t>
      </w:r>
      <w:r>
        <w:t xml:space="preserve"> </w:t>
      </w:r>
      <w:r>
        <w:rPr>
          <w:b/>
          <w:bCs/>
        </w:rPr>
        <w:t xml:space="preserve">Texas Railroad Commission's new produced-water disposal permit moratorium</w:t>
      </w:r>
      <w:r>
        <w:t xml:space="preserve"> </w:t>
      </w:r>
      <w:r>
        <w:t xml:space="preserve">(seismicity), and the</w:t>
      </w:r>
      <w:r>
        <w:t xml:space="preserve"> </w:t>
      </w:r>
      <w:r>
        <w:rPr>
          <w:b/>
          <w:bCs/>
        </w:rPr>
        <w:t xml:space="preserve">concentrated Endeavor/family ownership</w:t>
      </w:r>
      <w:r>
        <w:t xml:space="preserve"> </w:t>
      </w:r>
      <w:r>
        <w:t xml:space="preserve">overhang.</w:t>
      </w:r>
    </w:p>
    <w:p>
      <w:pPr>
        <w:pStyle w:val="BodyText"/>
      </w:pPr>
      <w:r>
        <w:rPr>
          <w:b/>
          <w:bCs/>
        </w:rPr>
        <w:t xml:space="preserve">Net:</w:t>
      </w:r>
      <w:r>
        <w:t xml:space="preserve"> </w:t>
      </w:r>
      <w:r>
        <w:t xml:space="preserve">The quarter itself should be strong and is largely "in the guide." The stock reaction will hinge more on</w:t>
      </w:r>
      <w:r>
        <w:t xml:space="preserve"> </w:t>
      </w:r>
      <w:r>
        <w:rPr>
          <w:b/>
          <w:bCs/>
        </w:rPr>
        <w:t xml:space="preserve">(a) the forward oil tape as Iran talks unfold, (b) how much cash goes to debt vs. buybacks, and (c) whether management leans further into growth.</w:t>
      </w:r>
      <w:r>
        <w:t xml:space="preserve"> </w:t>
      </w:r>
      <w:r>
        <w:t xml:space="preserve">Management has deliberately kept its cards close ("quarter-by-quarter"), so the call commentary on mid-cycle pricing and 2027 will likely move the stock more than the Q2 numbers.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Prepared as a research/monitoring aid, not investment advice. Estimates labeled as such are my own approximations derived from company guidance and are not sell-side consensus.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2026-08-03T00:25:51Z</dcterms:created>
  <dcterms:modified xsi:type="dcterms:W3CDTF">2026-08-03T00:25:51Z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