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1faeda1376ed3e4aff454354f709044cc9529d4"/>
    <w:p>
      <w:pPr>
        <w:pStyle w:val="Heading1"/>
      </w:pPr>
      <w:r>
        <w:t xml:space="preserve">Diamondback Energy (FANG) — Q2 2026 Earnings Preview</w:t>
      </w:r>
    </w:p>
    <w:p>
      <w:pPr>
        <w:pStyle w:val="FirstParagraph"/>
      </w:pPr>
      <w:r>
        <w:rPr>
          <w:b/>
          <w:bCs/>
        </w:rPr>
        <w:t xml:space="preserve">Report Date:</w:t>
      </w:r>
      <w:r>
        <w:t xml:space="preserve"> </w:t>
      </w:r>
      <w:r>
        <w:t xml:space="preserve">August 3, 2026 (after market close) |</w:t>
      </w:r>
      <w:r>
        <w:t xml:space="preserve"> </w:t>
      </w:r>
      <w:r>
        <w:rPr>
          <w:b/>
          <w:bCs/>
        </w:rPr>
        <w:t xml:space="preserve">Call:</w:t>
      </w:r>
      <w:r>
        <w:t xml:space="preserve"> </w:t>
      </w:r>
      <w:r>
        <w:t xml:space="preserve">August 4, 2026, 8:00 a.m. CT</w:t>
      </w:r>
    </w:p>
    <w:p>
      <w:r>
        <w:pict>
          <v:rect style="width:0;height:1.5pt" o:hralign="center" o:hrstd="t" o:hr="t"/>
        </w:pict>
      </w:r>
    </w:p>
    <w:bookmarkStart w:id="9" w:name="Xef59db0c1ea0085be39147b510d9ba18f6882f6"/>
    <w:p>
      <w:pPr>
        <w:pStyle w:val="Heading2"/>
      </w:pPr>
      <w:r>
        <w:t xml:space="preserve">1. Setup</w:t>
      </w:r>
    </w:p>
    <w:p>
      <w:pPr>
        <w:pStyle w:val="FirstParagraph"/>
      </w:pPr>
      <w:r>
        <w:t xml:space="preserve">Diamondback reports second-quarter 2026 results tomorrow into what is arguably the most volatile macro backdrop the Permian pure-play has faced since COVID. Shares have run from roughly</w:t>
      </w:r>
      <w:r>
        <w:t xml:space="preserve"> </w:t>
      </w:r>
      <m:oMath>
        <m:r>
          <m:t>152</m:t>
        </m:r>
        <m:r>
          <m:t>i</m:t>
        </m:r>
        <m:r>
          <m:t>n</m:t>
        </m:r>
        <m:r>
          <m:t>e</m:t>
        </m:r>
        <m:r>
          <m:t>a</m:t>
        </m:r>
        <m:r>
          <m:t>r</m:t>
        </m:r>
        <m:r>
          <m:t>l</m:t>
        </m:r>
        <m:r>
          <m:t>y</m:t>
        </m:r>
        <m:r>
          <m:t>J</m:t>
        </m:r>
        <m:r>
          <m:t>a</m:t>
        </m:r>
        <m:r>
          <m:t>n</m:t>
        </m:r>
        <m:r>
          <m:t>u</m:t>
        </m:r>
        <m:r>
          <m:t>a</m:t>
        </m:r>
        <m:r>
          <m:t>r</m:t>
        </m:r>
        <m:r>
          <m:t>y</m:t>
        </m:r>
        <m:r>
          <m:t>t</m:t>
        </m:r>
        <m:r>
          <m:t>o</m:t>
        </m:r>
        <m:r>
          <m:t>t</m:t>
        </m:r>
        <m:r>
          <m:t>h</m:t>
        </m:r>
        <m:r>
          <m:t>e</m:t>
        </m:r>
        <m:r>
          <m:t>l</m:t>
        </m:r>
        <m:r>
          <m:t>o</m:t>
        </m:r>
        <m:r>
          <m:t>w</m:t>
        </m:r>
        <m:r>
          <m:rPr>
            <m:sty m:val="p"/>
          </m:rPr>
          <m:t>−</m:t>
        </m:r>
      </m:oMath>
      <w:r>
        <w:t xml:space="preserve">200s heading into the print, but the last week has been choppy: oil prices whipsawed on Middle East headlines, and just one day before earnings, WTI fell 4.5% to $80.89/bbl and Brent fell 4.4% to $84.10/bbl after President Trump said he had called off a planned strike on Iran, citing progress toward a deal to reopen the Strait of Hormuz. That de-escalation matters enormously for FANG because the entire quarter's pricing, growth decision and capital-return framework were built around an oil-supply shock that is now showing signs of unwinding.</w:t>
      </w:r>
    </w:p>
    <w:bookmarkEnd w:id="9"/>
    <w:bookmarkStart w:id="10" w:name="X243a20a486945cb6848009181fa3bc37181d773"/>
    <w:p>
      <w:pPr>
        <w:pStyle w:val="Heading2"/>
      </w:pPr>
      <w:r>
        <w:t xml:space="preserve">2. The Macro Story That Shaped the Quarter</w:t>
      </w:r>
    </w:p>
    <w:p>
      <w:pPr>
        <w:pStyle w:val="FirstParagraph"/>
      </w:pPr>
      <w:r>
        <w:t xml:space="preserve">The U.S.-Israel military campaign against Iran that began in late February 2026 effectively constrained flows through the Strait of Hormuz, and by Diamondback's own account on the Q1 call, the world was "two months into the world's largest oil supply disruption in history." That backdrop pushed WTI sharply higher through the spring and summer, and it is the direct reason management flipped from a defensive "yellow light" posture to a "green light" framework — adding 2-3 rigs and reactivating a fifth completion crew — on the Q1 call in early May. As of August 1-2, oil markets were still digesting whether the conflict is genuinely de-escalating (Trump's Iran comments knocked WTI down sharply) even as reports of continued tanker incidents near Oman and Iranian threats against Gulf energy infrastructure keep a risk premium in the market. Investors should expect this tension — "is the supply shock over?" — to dominate the Q&amp;A.</w:t>
      </w:r>
    </w:p>
    <w:bookmarkEnd w:id="10"/>
    <w:bookmarkStart w:id="11" w:name="X4ce746c99f9320db1ed3dde7f45490f0d394eb8"/>
    <w:p>
      <w:pPr>
        <w:pStyle w:val="Heading2"/>
      </w:pPr>
      <w:r>
        <w:t xml:space="preserve">3. What We Already Know About Q2 (Pre-Announced)</w:t>
      </w:r>
    </w:p>
    <w:p>
      <w:pPr>
        <w:pStyle w:val="FirstParagraph"/>
      </w:pPr>
      <w:r>
        <w:t xml:space="preserve">Diamondback filed an 8-K on July 13 pre-releasing key Q2 metrics, so several of the "surprise" elements of tomorrow's report are already known:</w:t>
      </w:r>
    </w:p>
    <w:p>
      <w:pPr>
        <w:pStyle w:val="Compact"/>
        <w:numPr>
          <w:ilvl w:val="0"/>
          <w:numId w:val="1001"/>
        </w:numPr>
      </w:pPr>
      <w:r>
        <w:rPr>
          <w:b/>
          <w:bCs/>
        </w:rPr>
        <w:t xml:space="preserve">Realized oil price:</w:t>
      </w:r>
      <w:r>
        <w:t xml:space="preserve"> </w:t>
      </w:r>
      <w:r>
        <w:t xml:space="preserve">$96.82/bbl unhedged (vs. $73.47/bbl in Q1) — a huge sequential jump reflecting the war premium.</w:t>
      </w:r>
    </w:p>
    <w:p>
      <w:pPr>
        <w:pStyle w:val="Compact"/>
        <w:numPr>
          <w:ilvl w:val="0"/>
          <w:numId w:val="1001"/>
        </w:numPr>
      </w:pPr>
      <w:r>
        <w:rPr>
          <w:b/>
          <w:bCs/>
        </w:rPr>
        <w:t xml:space="preserve">Realized natural gas price:</w:t>
      </w:r>
      <w:r>
        <w:t xml:space="preserve"> </w:t>
      </w:r>
      <w:r>
        <w:t xml:space="preserve">–</w:t>
      </w:r>
      <m:oMath>
        <m:r>
          <m:t>2.15</m:t>
        </m:r>
        <m:r>
          <m:rPr>
            <m:sty m:val="p"/>
          </m:rPr>
          <m:t>/</m:t>
        </m:r>
        <m:r>
          <m:t>M</m:t>
        </m:r>
        <m:r>
          <m:t>c</m:t>
        </m:r>
        <m:r>
          <m:t>f</m:t>
        </m:r>
        <m:r>
          <m:t>u</m:t>
        </m:r>
        <m:r>
          <m:t>n</m:t>
        </m:r>
        <m:r>
          <m:t>h</m:t>
        </m:r>
        <m:r>
          <m:t>e</m:t>
        </m:r>
        <m:r>
          <m:t>d</m:t>
        </m:r>
        <m:r>
          <m:t>g</m:t>
        </m:r>
        <m:r>
          <m:t>e</m:t>
        </m:r>
        <m:r>
          <m:t>d</m:t>
        </m:r>
        <m:r>
          <m:rPr>
            <m:sty m:val="p"/>
          </m:rPr>
          <m:t>(</m:t>
        </m:r>
        <m:r>
          <m:t>h</m:t>
        </m:r>
        <m:r>
          <m:t>e</m:t>
        </m:r>
        <m:r>
          <m:t>d</m:t>
        </m:r>
        <m:r>
          <m:t>g</m:t>
        </m:r>
        <m:r>
          <m:t>e</m:t>
        </m:r>
        <m:r>
          <m:t>d</m:t>
        </m:r>
        <m:r>
          <m:rPr>
            <m:sty m:val="p"/>
          </m:rPr>
          <m:t>–</m:t>
        </m:r>
      </m:oMath>
      <w:r>
        <w:t xml:space="preserve">0.34/Mcf) — Waha basis blew out again, consistent with management's Q1 commentary that negative Waha pricing "cuts out the value of your NGLs" and, at extreme levels, starts eating into oil economics.</w:t>
      </w:r>
    </w:p>
    <w:p>
      <w:pPr>
        <w:pStyle w:val="Compact"/>
        <w:numPr>
          <w:ilvl w:val="0"/>
          <w:numId w:val="1001"/>
        </w:numPr>
      </w:pPr>
      <w:r>
        <w:rPr>
          <w:b/>
          <w:bCs/>
        </w:rPr>
        <w:t xml:space="preserve">NGL price:</w:t>
      </w:r>
      <w:r>
        <w:t xml:space="preserve"> </w:t>
      </w:r>
      <w:r>
        <w:t xml:space="preserve">$18.56/bbl.</w:t>
      </w:r>
    </w:p>
    <w:p>
      <w:pPr>
        <w:pStyle w:val="Compact"/>
        <w:numPr>
          <w:ilvl w:val="0"/>
          <w:numId w:val="1001"/>
        </w:numPr>
      </w:pPr>
      <w:r>
        <w:rPr>
          <w:b/>
          <w:bCs/>
        </w:rPr>
        <w:t xml:space="preserve">Derivatives:</w:t>
      </w:r>
      <w:r>
        <w:t xml:space="preserve"> </w:t>
      </w:r>
      <w:r>
        <w:t xml:space="preserve">a $113 million net cash gain on settlements and a $64 million non-cash derivative loss.</w:t>
      </w:r>
    </w:p>
    <w:p>
      <w:pPr>
        <w:pStyle w:val="Compact"/>
        <w:numPr>
          <w:ilvl w:val="0"/>
          <w:numId w:val="1001"/>
        </w:numPr>
      </w:pPr>
      <w:r>
        <w:rPr>
          <w:b/>
          <w:bCs/>
        </w:rPr>
        <w:t xml:space="preserve">Share count:</w:t>
      </w:r>
      <w:r>
        <w:t xml:space="preserve"> </w:t>
      </w:r>
      <w:r>
        <w:t xml:space="preserve">281.2 million weighted-average diluted shares, down modestly from Q1's 282.8 million, reflecting continued buybacks.</w:t>
      </w:r>
    </w:p>
    <w:bookmarkEnd w:id="11"/>
    <w:bookmarkStart w:id="12" w:name="Xcee53bdc9b7cedf020661936a57af84dcb43981"/>
    <w:p>
      <w:pPr>
        <w:pStyle w:val="Heading2"/>
      </w:pPr>
      <w:r>
        <w:t xml:space="preserve">4. Guidance Framework Heading Into the Print</w:t>
      </w:r>
    </w:p>
    <w:p>
      <w:pPr>
        <w:pStyle w:val="FirstParagraph"/>
      </w:pPr>
      <w:r>
        <w:t xml:space="preserve">At Q1, Diamondback raised full-year 2026 oil production guidance to 520+ MBO/d (from 500-510) and total production to 972+ MBOE/d (from 926-962), raised capex to ~</w:t>
      </w:r>
      <m:oMath>
        <m:r>
          <m:t>3.90</m:t>
        </m:r>
        <m:r>
          <m:t>b</m:t>
        </m:r>
        <m:r>
          <m:t>i</m:t>
        </m:r>
        <m:r>
          <m:t>l</m:t>
        </m:r>
        <m:r>
          <m:t>l</m:t>
        </m:r>
        <m:r>
          <m:t>i</m:t>
        </m:r>
        <m:r>
          <m:t>o</m:t>
        </m:r>
        <m:r>
          <m:t>n</m:t>
        </m:r>
        <m:r>
          <m:rPr>
            <m:sty m:val="p"/>
          </m:rPr>
          <m:t>(</m:t>
        </m:r>
        <m:r>
          <m:t>f</m:t>
        </m:r>
        <m:r>
          <m:t>r</m:t>
        </m:r>
        <m:r>
          <m:t>o</m:t>
        </m:r>
        <m:r>
          <m:t>m</m:t>
        </m:r>
        <m:r>
          <m:t> </m:t>
        </m:r>
      </m:oMath>
      <w:r>
        <w:t xml:space="preserve">3.75 billion), and gave specific Q2 guidance of 515-525 MBO/d oil (950-990 MBOE/d total) on capex of</w:t>
      </w:r>
      <w:r>
        <w:t xml:space="preserve"> </w:t>
      </w:r>
      <m:oMath>
        <m:r>
          <m:t>925</m:t>
        </m:r>
        <m:r>
          <m:t>m</m:t>
        </m:r>
        <m:r>
          <m:t>i</m:t>
        </m:r>
        <m:r>
          <m:t>l</m:t>
        </m:r>
        <m:r>
          <m:t>l</m:t>
        </m:r>
        <m:r>
          <m:t>i</m:t>
        </m:r>
        <m:r>
          <m:t>o</m:t>
        </m:r>
        <m:r>
          <m:t>n</m:t>
        </m:r>
        <m:r>
          <m:rPr>
            <m:sty m:val="p"/>
          </m:rPr>
          <m:t>−</m:t>
        </m:r>
      </m:oMath>
      <w:r>
        <w:t xml:space="preserve">1.025 billion. CEO Kaes Van't Hof framed the rig/crew additions as capital-efficient rather than a "go-go days of 2017-2018" growth binge, targeting mid-single-digit organic growth and explicitly tying further increases to how the war/oil-price picture evolves quarter by quarter. Watch whether that stance survives the post-Aug-2 pullback in oil prices.</w:t>
      </w:r>
    </w:p>
    <w:bookmarkEnd w:id="12"/>
    <w:bookmarkStart w:id="13" w:name="X1bf8bb25cd0be60cbdd87cc3d1a2d08e51b7d3b"/>
    <w:p>
      <w:pPr>
        <w:pStyle w:val="Heading2"/>
      </w:pPr>
      <w:r>
        <w:t xml:space="preserve">5. Consensus Expectations for Tomorrow</w:t>
      </w:r>
    </w:p>
    <w:p>
      <w:pPr>
        <w:pStyle w:val="FirstParagraph"/>
      </w:pPr>
      <w:r>
        <w:t xml:space="preserve">Wall Street has priced in a big year-over-year jump given the oil-price windfall:</w:t>
      </w:r>
    </w:p>
    <w:p>
      <w:pPr>
        <w:pStyle w:val="Compact"/>
        <w:numPr>
          <w:ilvl w:val="0"/>
          <w:numId w:val="1002"/>
        </w:numPr>
      </w:pPr>
      <w:r>
        <w:rPr>
          <w:b/>
          <w:bCs/>
        </w:rPr>
        <w:t xml:space="preserve">EPS:</w:t>
      </w:r>
      <w:r>
        <w:t xml:space="preserve"> </w:t>
      </w:r>
      <w:r>
        <w:t xml:space="preserve">Consensus sits around</w:t>
      </w:r>
      <w:r>
        <w:t xml:space="preserve"> </w:t>
      </w:r>
      <m:oMath>
        <m:r>
          <m:t>6.03</m:t>
        </m:r>
        <m:r>
          <m:rPr>
            <m:sty m:val="p"/>
          </m:rPr>
          <m:t>−</m:t>
        </m:r>
      </m:oMath>
      <w:r>
        <w:t xml:space="preserve">6.19 (Zacks: $6.08; other trackers:</w:t>
      </w:r>
      <w:r>
        <w:t xml:space="preserve"> </w:t>
      </w:r>
      <m:oMath>
        <m:r>
          <m:t>6.03</m:t>
        </m:r>
        <m:r>
          <m:rPr>
            <m:sty m:val="p"/>
          </m:rPr>
          <m:t>−</m:t>
        </m:r>
      </m:oMath>
      <w:r>
        <w:t xml:space="preserve">6.19), implying roughly 126-132% growth from the depressed year-ago quarter.</w:t>
      </w:r>
    </w:p>
    <w:p>
      <w:pPr>
        <w:pStyle w:val="Compact"/>
        <w:numPr>
          <w:ilvl w:val="0"/>
          <w:numId w:val="1002"/>
        </w:numPr>
      </w:pPr>
      <w:r>
        <w:rPr>
          <w:b/>
          <w:bCs/>
        </w:rPr>
        <w:t xml:space="preserve">Revenue:</w:t>
      </w:r>
      <w:r>
        <w:t xml:space="preserve"> </w:t>
      </w:r>
      <w:r>
        <w:t xml:space="preserve">~$4.8 billion, up roughly 31% year-over-year.</w:t>
      </w:r>
    </w:p>
    <w:p>
      <w:pPr>
        <w:pStyle w:val="Compact"/>
        <w:numPr>
          <w:ilvl w:val="0"/>
          <w:numId w:val="1002"/>
        </w:numPr>
      </w:pPr>
      <w:r>
        <w:t xml:space="preserve">Q1 set the bar for beats: FANG posted</w:t>
      </w:r>
      <w:r>
        <w:t xml:space="preserve"> </w:t>
      </w:r>
      <w:r>
        <w:rPr>
          <w:b/>
          <w:bCs/>
        </w:rPr>
        <w:t xml:space="preserve">adjusted EPS of</w:t>
      </w:r>
      <w:r>
        <w:rPr>
          <w:b/>
          <w:bCs/>
        </w:rPr>
        <w:t xml:space="preserve"> </w:t>
      </w:r>
      <m:oMath>
        <m:r>
          <m:t>4.23</m:t>
        </m:r>
        <m:r>
          <m:rPr>
            <m:sty m:val="p"/>
          </m:rPr>
          <m:t>*</m:t>
        </m:r>
        <m:r>
          <m:rPr>
            <m:sty m:val="p"/>
          </m:rPr>
          <m:t>*</m:t>
        </m:r>
        <m:r>
          <m:t>a</m:t>
        </m:r>
        <m:r>
          <m:t>g</m:t>
        </m:r>
        <m:r>
          <m:t>a</m:t>
        </m:r>
        <m:r>
          <m:t>i</m:t>
        </m:r>
        <m:r>
          <m:t>n</m:t>
        </m:r>
        <m:r>
          <m:t>s</m:t>
        </m:r>
        <m:r>
          <m:t>t</m:t>
        </m:r>
        <m:r>
          <m:t>a</m:t>
        </m:r>
        <m:r>
          <m:rPr>
            <m:sty m:val="p"/>
          </m:rPr>
          <m:t>*</m:t>
        </m:r>
        <m:r>
          <m:rPr>
            <m:sty m:val="p"/>
          </m:rPr>
          <m:t>*</m:t>
        </m:r>
      </m:oMath>
      <w:r>
        <w:rPr>
          <w:b/>
          <w:bCs/>
        </w:rPr>
        <w:t xml:space="preserve">3.55 Zacks consensus</w:t>
      </w:r>
      <w:r>
        <w:t xml:space="preserve">, driven by strong well performance and lower downtime, alongside</w:t>
      </w:r>
      <w:r>
        <w:t xml:space="preserve"> </w:t>
      </w:r>
      <w:r>
        <w:rPr>
          <w:b/>
          <w:bCs/>
        </w:rPr>
        <w:t xml:space="preserve">revenue of $4.24 billion</w:t>
      </w:r>
      <w:r>
        <w:t xml:space="preserve"> </w:t>
      </w:r>
      <w:r>
        <w:t xml:space="preserve">and</w:t>
      </w:r>
      <w:r>
        <w:t xml:space="preserve"> </w:t>
      </w:r>
      <w:r>
        <w:rPr>
          <w:b/>
          <w:bCs/>
        </w:rPr>
        <w:t xml:space="preserve">Free Cash Flow of</w:t>
      </w:r>
      <w:r>
        <w:rPr>
          <w:b/>
          <w:bCs/>
        </w:rPr>
        <w:t xml:space="preserve"> </w:t>
      </w:r>
      <m:oMath>
        <m:r>
          <m:t>1.7</m:t>
        </m:r>
        <m:r>
          <m:t>b</m:t>
        </m:r>
        <m:r>
          <m:t>i</m:t>
        </m:r>
        <m:r>
          <m:t>l</m:t>
        </m:r>
        <m:r>
          <m:t>l</m:t>
        </m:r>
        <m:r>
          <m:t>i</m:t>
        </m:r>
        <m:r>
          <m:t>o</m:t>
        </m:r>
        <m:r>
          <m:t>n</m:t>
        </m:r>
        <m:r>
          <m:rPr>
            <m:sty m:val="p"/>
          </m:rPr>
          <m:t>*</m:t>
        </m:r>
        <m:r>
          <m:rPr>
            <m:sty m:val="p"/>
          </m:rPr>
          <m:t>*</m:t>
        </m:r>
        <m:r>
          <m:rPr>
            <m:sty m:val="p"/>
          </m:rPr>
          <m:t>.</m:t>
        </m:r>
        <m:r>
          <m:t>N</m:t>
        </m:r>
        <m:r>
          <m:t>o</m:t>
        </m:r>
        <m:r>
          <m:t>t</m:t>
        </m:r>
        <m:r>
          <m:t>e</m:t>
        </m:r>
        <m:r>
          <m:t>G</m:t>
        </m:r>
        <m:r>
          <m:t>A</m:t>
        </m:r>
        <m:r>
          <m:t>A</m:t>
        </m:r>
        <m:r>
          <m:t>P</m:t>
        </m:r>
        <m:r>
          <m:t>n</m:t>
        </m:r>
        <m:r>
          <m:t>e</m:t>
        </m:r>
        <m:r>
          <m:t>t</m:t>
        </m:r>
        <m:r>
          <m:t>i</m:t>
        </m:r>
        <m:r>
          <m:t>n</m:t>
        </m:r>
        <m:r>
          <m:t>c</m:t>
        </m:r>
        <m:r>
          <m:t>o</m:t>
        </m:r>
        <m:r>
          <m:t>m</m:t>
        </m:r>
        <m:r>
          <m:t>e</m:t>
        </m:r>
        <m:r>
          <m:t>w</m:t>
        </m:r>
        <m:r>
          <m:t>a</m:t>
        </m:r>
        <m:r>
          <m:t>s</m:t>
        </m:r>
        <m:r>
          <m:t>d</m:t>
        </m:r>
        <m:r>
          <m:t>i</m:t>
        </m:r>
        <m:r>
          <m:t>s</m:t>
        </m:r>
        <m:r>
          <m:t>t</m:t>
        </m:r>
        <m:r>
          <m:t>o</m:t>
        </m:r>
        <m:r>
          <m:t>r</m:t>
        </m:r>
        <m:r>
          <m:t>t</m:t>
        </m:r>
        <m:r>
          <m:t>e</m:t>
        </m:r>
        <m:r>
          <m:t>d</m:t>
        </m:r>
        <m:r>
          <m:t>b</m:t>
        </m:r>
        <m:r>
          <m:t>y</m:t>
        </m:r>
        <m:r>
          <m:t>a</m:t>
        </m:r>
        <m:r>
          <m:rPr>
            <m:sty m:val="p"/>
          </m:rPr>
          <m:t>*</m:t>
        </m:r>
        <m:r>
          <m:rPr>
            <m:sty m:val="p"/>
          </m:rPr>
          <m:t>*</m:t>
        </m:r>
      </m:oMath>
      <w:r>
        <w:rPr>
          <w:b/>
          <w:bCs/>
        </w:rPr>
        <w:t xml:space="preserve">1.4 billion non-cash impairment</w:t>
      </w:r>
      <w:r>
        <w:t xml:space="preserve"> </w:t>
      </w:r>
      <w:r>
        <w:t xml:space="preserve">in Q1, so headline GAAP EPS ($0.08) is not the number to focus on — adjusted figures matter far more.</w:t>
      </w:r>
    </w:p>
    <w:bookmarkEnd w:id="13"/>
    <w:bookmarkStart w:id="14" w:name="X27adf2dcde2dfdda059ba0b4ed79d0f133d2157"/>
    <w:p>
      <w:pPr>
        <w:pStyle w:val="Heading2"/>
      </w:pPr>
      <w:r>
        <w:t xml:space="preserve">6. Capital Allocation &amp; Balance Sheet — The Real Swing Factor</w:t>
      </w:r>
    </w:p>
    <w:p>
      <w:pPr>
        <w:pStyle w:val="FirstParagraph"/>
      </w:pPr>
      <w:r>
        <w:t xml:space="preserve">This is arguably the most important storyline for FANG right now, more than production beats:</w:t>
      </w:r>
    </w:p>
    <w:p>
      <w:pPr>
        <w:pStyle w:val="Compact"/>
        <w:numPr>
          <w:ilvl w:val="0"/>
          <w:numId w:val="1003"/>
        </w:numPr>
      </w:pPr>
      <w:r>
        <w:rPr>
          <w:b/>
          <w:bCs/>
        </w:rPr>
        <w:t xml:space="preserve">Return-of-capital framework shift:</w:t>
      </w:r>
      <w:r>
        <w:t xml:space="preserve"> </w:t>
      </w:r>
      <w:r>
        <w:t xml:space="preserve">At Q1, Diamondback moved away from its historical</w:t>
      </w:r>
      <w:r>
        <w:t xml:space="preserve"> </w:t>
      </w:r>
      <w:r>
        <w:rPr>
          <w:i/>
          <w:iCs/>
        </w:rPr>
        <w:t xml:space="preserve">fixed</w:t>
      </w:r>
      <w:r>
        <w:t xml:space="preserve"> </w:t>
      </w:r>
      <w:r>
        <w:t xml:space="preserve">formulaic dividend-plus-buyback framework toward a more flexible, cyclical approach — raising the base dividend 5% to $1.10/share (a 10% YoY increase) while signaling it may slow buybacks to prioritize debt paydown while oil prices are elevated. Management was explicit:</w:t>
      </w:r>
      <w:r>
        <w:t xml:space="preserve"> </w:t>
      </w:r>
      <w:r>
        <w:rPr>
          <w:i/>
          <w:iCs/>
        </w:rPr>
        <w:t xml:space="preserve">"the bigger use of free cash is going to be to pay down debt rapidly and convert that debt value to equity value... this is a very volatile environment, and it can flip pretty quickly."</w:t>
      </w:r>
    </w:p>
    <w:p>
      <w:pPr>
        <w:pStyle w:val="Compact"/>
        <w:numPr>
          <w:ilvl w:val="0"/>
          <w:numId w:val="1003"/>
        </w:numPr>
      </w:pPr>
      <w:r>
        <w:rPr>
          <w:b/>
          <w:bCs/>
        </w:rPr>
        <w:t xml:space="preserve">Debt targets pulled forward:</w:t>
      </w:r>
      <w:r>
        <w:t xml:space="preserve"> </w:t>
      </w:r>
      <w:r>
        <w:t xml:space="preserve">CFO Jere Thompson said the company's $10 billion net-debt target — originally 12-18 months out — could now be hit "a couple of months from now" given elevated free cash flow. Pro forma gross debt stood at $12.7 billion at the end of April; Q1-end net debt was $13.9 billion.</w:t>
      </w:r>
    </w:p>
    <w:p>
      <w:pPr>
        <w:pStyle w:val="Compact"/>
        <w:numPr>
          <w:ilvl w:val="0"/>
          <w:numId w:val="1003"/>
        </w:numPr>
      </w:pPr>
      <w:r>
        <w:rPr>
          <w:b/>
          <w:bCs/>
        </w:rPr>
        <w:t xml:space="preserve">Balance sheet already strengthened:</w:t>
      </w:r>
      <w:r>
        <w:t xml:space="preserve"> </w:t>
      </w:r>
      <w:r>
        <w:t xml:space="preserve">In June, Diamondback amended its credit facility, extending maturity to 2031 and increasing capacity from $2.5 billion to $3.0 billion at a lower rate — a sign of "fortress" positioning ahead of potential volatility.</w:t>
      </w:r>
    </w:p>
    <w:p>
      <w:pPr>
        <w:pStyle w:val="Compact"/>
        <w:numPr>
          <w:ilvl w:val="0"/>
          <w:numId w:val="1003"/>
        </w:numPr>
      </w:pPr>
      <w:r>
        <w:rPr>
          <w:b/>
          <w:bCs/>
        </w:rPr>
        <w:t xml:space="preserve">Family/Endeavor stake overhang:</w:t>
      </w:r>
      <w:r>
        <w:t xml:space="preserve"> </w:t>
      </w:r>
      <w:r>
        <w:t xml:space="preserve">Diamondback has been an active buyer of stock from SGF FANG Holdings (the Endeavor family entity), including a $509 million block purchase in Q1. Investors should listen for updates on this dynamic, since it's a persistent supply/demand technical for the stock.</w:t>
      </w:r>
    </w:p>
    <w:p>
      <w:pPr>
        <w:pStyle w:val="Compact"/>
        <w:numPr>
          <w:ilvl w:val="0"/>
          <w:numId w:val="1003"/>
        </w:numPr>
      </w:pPr>
      <w:r>
        <w:rPr>
          <w:b/>
          <w:bCs/>
        </w:rPr>
        <w:t xml:space="preserve">Viper Energy:</w:t>
      </w:r>
      <w:r>
        <w:t xml:space="preserve"> </w:t>
      </w:r>
      <w:r>
        <w:t xml:space="preserve">Diamondback trimmed its Viper ownership slightly in Q1 but said on the call it is "done selling Viper shares" for now, while leaving the door open to future dilution as Viper grows.</w:t>
      </w:r>
    </w:p>
    <w:bookmarkEnd w:id="14"/>
    <w:bookmarkStart w:id="15" w:name="X71a26274b1178749c5883d48b570292fb7f4d9b"/>
    <w:p>
      <w:pPr>
        <w:pStyle w:val="Heading2"/>
      </w:pPr>
      <w:r>
        <w:t xml:space="preserve">7. Operational Watch Items</w:t>
      </w:r>
    </w:p>
    <w:p>
      <w:pPr>
        <w:pStyle w:val="Compact"/>
        <w:numPr>
          <w:ilvl w:val="0"/>
          <w:numId w:val="1004"/>
        </w:numPr>
      </w:pPr>
      <w:r>
        <w:rPr>
          <w:b/>
          <w:bCs/>
        </w:rPr>
        <w:t xml:space="preserve">Growth durability:</w:t>
      </w:r>
      <w:r>
        <w:t xml:space="preserve"> </w:t>
      </w:r>
      <w:r>
        <w:t xml:space="preserve">The Q2 oil guide of 515-525 MBO/d essentially holds flat-to-up versus Q1's 521 MBO/d actual, with growth back-half weighted as the fifth frac crew and 2-3 incremental rigs (largely tied to accelerating Barnett Shale JV obligations, ~1.5 net rigs to Diamondback) ramp through H2.</w:t>
      </w:r>
    </w:p>
    <w:p>
      <w:pPr>
        <w:pStyle w:val="Compact"/>
        <w:numPr>
          <w:ilvl w:val="0"/>
          <w:numId w:val="1004"/>
        </w:numPr>
      </w:pPr>
      <w:r>
        <w:rPr>
          <w:b/>
          <w:bCs/>
        </w:rPr>
        <w:t xml:space="preserve">Waha gas differentials:</w:t>
      </w:r>
      <w:r>
        <w:t xml:space="preserve"> </w:t>
      </w:r>
      <w:r>
        <w:t xml:space="preserve">Deeply negative Waha pricing has already shown up in the pre-announced Q2 realized gas price of –$2.15/Mcf. Management noted it may selectively curtail low-oil-cut wells when Waha blows out (as it did in October 2025), and is counting on new pipeline capacity in H2 2026 to shift more gas to physical (vs. financial) protection.</w:t>
      </w:r>
    </w:p>
    <w:p>
      <w:pPr>
        <w:pStyle w:val="Compact"/>
        <w:numPr>
          <w:ilvl w:val="0"/>
          <w:numId w:val="1004"/>
        </w:numPr>
      </w:pPr>
      <w:r>
        <w:rPr>
          <w:b/>
          <w:bCs/>
        </w:rPr>
        <w:t xml:space="preserve">Service cost inflation:</w:t>
      </w:r>
      <w:r>
        <w:t xml:space="preserve"> </w:t>
      </w:r>
      <w:r>
        <w:t xml:space="preserve">As of the Q1 call, Diamondback had not seen meaningful oilfield-service inflation despite rising activity, citing ample rig/completion capacity; a key question is whether that has changed as Permian rig counts rise (management estimated the Permian could add 25-30 rigs industry-wide by year-end).</w:t>
      </w:r>
    </w:p>
    <w:p>
      <w:pPr>
        <w:pStyle w:val="Compact"/>
        <w:numPr>
          <w:ilvl w:val="0"/>
          <w:numId w:val="1004"/>
        </w:numPr>
      </w:pPr>
      <w:r>
        <w:rPr>
          <w:b/>
          <w:bCs/>
        </w:rPr>
        <w:t xml:space="preserve">Capital efficiency:</w:t>
      </w:r>
      <w:r>
        <w:t xml:space="preserve"> </w:t>
      </w:r>
      <w:r>
        <w:t xml:space="preserve">Watch drilling cost metrics ($300/ft Wolfcamp D target already achieved; Barnett costs targeted below $400/ft to reach an $800/ft all-in target) and DUC inventory trends (Diamondback guided to drawing down from a Q1 peak of ~200+ DUCs before rebuilding via the new rigs).</w:t>
      </w:r>
    </w:p>
    <w:p>
      <w:pPr>
        <w:pStyle w:val="Compact"/>
        <w:numPr>
          <w:ilvl w:val="0"/>
          <w:numId w:val="1004"/>
        </w:numPr>
      </w:pPr>
      <w:r>
        <w:rPr>
          <w:b/>
          <w:bCs/>
        </w:rPr>
        <w:t xml:space="preserve">Well performance/technology:</w:t>
      </w:r>
      <w:r>
        <w:t xml:space="preserve"> </w:t>
      </w:r>
      <w:r>
        <w:t xml:space="preserve">Continued upside from completion optimization (perforating strategy, sand loading) and machine-learning-driven downtime reduction, plus early-stage surfactant "huff-n-puff" recovery tests that management flagged as a multi-year value driver.</w:t>
      </w:r>
    </w:p>
    <w:bookmarkEnd w:id="15"/>
    <w:bookmarkStart w:id="16" w:name="X7e25ff849a5d4e658dd203ffa696fa171d07e2a"/>
    <w:p>
      <w:pPr>
        <w:pStyle w:val="Heading2"/>
      </w:pPr>
      <w:r>
        <w:t xml:space="preserve">8. Sentiment &amp; Valuation Going In</w:t>
      </w:r>
    </w:p>
    <w:p>
      <w:pPr>
        <w:pStyle w:val="FirstParagraph"/>
      </w:pPr>
      <w:r>
        <w:t xml:space="preserve">Wall Street remains constructive: FANG carries a consensus</w:t>
      </w:r>
      <w:r>
        <w:t xml:space="preserve"> </w:t>
      </w:r>
      <w:r>
        <w:rPr>
          <w:b/>
          <w:bCs/>
        </w:rPr>
        <w:t xml:space="preserve">"Buy"</w:t>
      </w:r>
      <w:r>
        <w:t xml:space="preserve"> </w:t>
      </w:r>
      <w:r>
        <w:t xml:space="preserve">rating from roughly 25-30 covering analysts (majority buy/outperform, a handful of holds, essentially no sells), with average price targets clustered around</w:t>
      </w:r>
      <w:r>
        <w:t xml:space="preserve"> </w:t>
      </w:r>
      <m:oMath>
        <m:r>
          <m:t>229</m:t>
        </m:r>
        <m:r>
          <m:rPr>
            <m:sty m:val="p"/>
          </m:rPr>
          <m:t>−</m:t>
        </m:r>
      </m:oMath>
      <w:r>
        <w:rPr>
          <w:b/>
          <w:bCs/>
        </w:rPr>
        <w:t xml:space="preserve">233</w:t>
      </w:r>
      <w:r>
        <w:t xml:space="preserve"> </w:t>
      </w:r>
      <w:r>
        <w:t xml:space="preserve">— implying meaningful upside from recent trading levels in the low-$200s. Shares are up roughly 45% over the trailing six months, outpacing the broader energy sector's ~33% gain, largely on the back of the war-driven oil rally and the Q1 guidance raise.</w:t>
      </w:r>
    </w:p>
    <w:bookmarkEnd w:id="16"/>
    <w:bookmarkStart w:id="17" w:name="X6a02c9249ef3646f9a0412981e43798af7ce56b"/>
    <w:p>
      <w:pPr>
        <w:pStyle w:val="Heading2"/>
      </w:pPr>
      <w:r>
        <w:t xml:space="preserve">9. Bottom Line — What to Listen For Tomorrow/Thursday</w:t>
      </w:r>
    </w:p>
    <w:p>
      <w:pPr>
        <w:pStyle w:val="Compact"/>
        <w:numPr>
          <w:ilvl w:val="0"/>
          <w:numId w:val="1005"/>
        </w:numPr>
      </w:pPr>
      <w:r>
        <w:rPr>
          <w:b/>
          <w:bCs/>
        </w:rPr>
        <w:t xml:space="preserve">Does management maintain its "green light" growth stance</w:t>
      </w:r>
      <w:r>
        <w:t xml:space="preserve"> </w:t>
      </w:r>
      <w:r>
        <w:t xml:space="preserve">given the sharp Aug. 2 oil-price pullback on Iran de-escalation headlines, or does it start hedging language back toward caution?</w:t>
      </w:r>
    </w:p>
    <w:p>
      <w:pPr>
        <w:pStyle w:val="Compact"/>
        <w:numPr>
          <w:ilvl w:val="0"/>
          <w:numId w:val="1005"/>
        </w:numPr>
      </w:pPr>
      <w:r>
        <w:rPr>
          <w:b/>
          <w:bCs/>
        </w:rPr>
        <w:t xml:space="preserve">Pace of debt paydown vs. buybacks</w:t>
      </w:r>
      <w:r>
        <w:t xml:space="preserve"> </w:t>
      </w:r>
      <w:r>
        <w:t xml:space="preserve">— any explicit update on hitting the $10B net-debt target and plans for the $750 million of 2026 notes callable later this year.</w:t>
      </w:r>
    </w:p>
    <w:p>
      <w:pPr>
        <w:pStyle w:val="Compact"/>
        <w:numPr>
          <w:ilvl w:val="0"/>
          <w:numId w:val="1005"/>
        </w:numPr>
      </w:pPr>
      <w:r>
        <w:rPr>
          <w:b/>
          <w:bCs/>
        </w:rPr>
        <w:t xml:space="preserve">Waha/gas monetization progress</w:t>
      </w:r>
      <w:r>
        <w:t xml:space="preserve"> </w:t>
      </w:r>
      <w:r>
        <w:t xml:space="preserve">— timing on new pipeline capacity and the natural-gas power/data-center project that's been "almost a year" in the works.</w:t>
      </w:r>
    </w:p>
    <w:p>
      <w:pPr>
        <w:pStyle w:val="Compact"/>
        <w:numPr>
          <w:ilvl w:val="0"/>
          <w:numId w:val="1005"/>
        </w:numPr>
      </w:pPr>
      <w:r>
        <w:rPr>
          <w:b/>
          <w:bCs/>
        </w:rPr>
        <w:t xml:space="preserve">Full-year guidance revisions</w:t>
      </w:r>
      <w:r>
        <w:t xml:space="preserve"> </w:t>
      </w:r>
      <w:r>
        <w:t xml:space="preserve">— given Q1's oil guide was already raised to 520+ MBO/d and Q2 pre-announced pricing came in hot, look for any further upward tweaks to production or capex, balanced against signs of oil-price normalization.</w:t>
      </w:r>
    </w:p>
    <w:p>
      <w:pPr>
        <w:pStyle w:val="Compact"/>
        <w:numPr>
          <w:ilvl w:val="0"/>
          <w:numId w:val="1005"/>
        </w:numPr>
      </w:pPr>
      <w:r>
        <w:rPr>
          <w:b/>
          <w:bCs/>
        </w:rPr>
        <w:t xml:space="preserve">Capital discipline messaging</w:t>
      </w:r>
      <w:r>
        <w:t xml:space="preserve"> </w:t>
      </w:r>
      <w:r>
        <w:t xml:space="preserve">— reinvestment rate trends (it fell to ~34% at Q1 despite the activity increase) and whether growth beyond mid-single digits is being contemplated if oil prices stay elevated — or pulled back if they don't.</w:t>
      </w:r>
    </w:p>
    <w:p>
      <w:pPr>
        <w:pStyle w:val="FirstParagraph"/>
      </w:pPr>
      <w:r>
        <w:t xml:space="preserve">Given how tightly Diamondback's growth and capital-return decisions are now linked to a fast-moving geopolitical/oil-price situation, this print is likely to be as much about</w:t>
      </w:r>
      <w:r>
        <w:t xml:space="preserve"> </w:t>
      </w:r>
      <w:r>
        <w:rPr>
          <w:b/>
          <w:bCs/>
        </w:rPr>
        <w:t xml:space="preserve">forward commentary on the Iran/Hormuz situation and capital allocation flexibility</w:t>
      </w:r>
      <w:r>
        <w:t xml:space="preserve"> </w:t>
      </w:r>
      <w:r>
        <w:t xml:space="preserve">as it is about the backward-looking beat-or-miss on consensus EPS/revenue.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2026-08-03T00:29:20Z</dcterms:created>
  <dcterms:modified xsi:type="dcterms:W3CDTF">2026-08-03T00:29:20Z</dcterms:modified>
</cp:coreProperties>
</file>

<file path=docProps/custom.xml><?xml version="1.0" encoding="utf-8"?>
<Properties xmlns="http://schemas.openxmlformats.org/officeDocument/2006/custom-properties" xmlns:vt="http://schemas.openxmlformats.org/officeDocument/2006/docPropsVTypes"/>
</file>