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ang-earnings-predictions--2026-08-03"/>
    <w:p>
      <w:pPr>
        <w:pStyle w:val="Heading1"/>
      </w:pPr>
      <w:r>
        <w:t xml:space="preserve">FANG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~$6.28 vs. cons $6.08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Oil production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~524 Mbo/d vs. cons 521 Mbo/d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free cash flow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~$2.03B vs. cons $2.05B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Oil production guidance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~520 Mbo/d vs. cons 524 Mbo/d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Oil production guidance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~520 Mbo/d vs. cons 522 Mbo/d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 guidance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~$3.90B vs. cons $3.90B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-4.2% (FOLLOW-THROUGH)</w:t>
            </w:r>
          </w:p>
        </w:tc>
        <w:tc>
          <w:tcPr/>
          <w:p>
            <w:pPr>
              <w:pStyle w:val="Compact"/>
            </w:pPr>
            <w:r>
              <w:t xml:space="preserve">A largely pre-disclosed Q2 earnings beat is outweighed by Q3 oil guidance of ~520 Mbo/d versus 524 Mbo/d consensus and FY2026 guidance of ~520 Mbo/d versus 522 Mbo/d consensus; the implied second-half volume softness and unchanged ~$3.90B capex versus $3.90B consensus pull out-period estimates lower after the headline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2026-08-03T00:26:29Z</dcterms:created>
  <dcterms:modified xsi:type="dcterms:W3CDTF">2026-08-03T00:26:29Z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