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c9f828ff3219ce7d155b362d2421d1a49d4314"/>
    <w:p>
      <w:pPr>
        <w:pStyle w:val="Heading1"/>
      </w:pPr>
      <w:r>
        <w:t xml:space="preserve">Diamondback Energy (NASDAQ: FANG) — Q2 2026 Earnings Preview</w:t>
      </w:r>
    </w:p>
    <w:p>
      <w:pPr>
        <w:pStyle w:val="BlockText"/>
      </w:pPr>
      <w:r>
        <w:rPr>
          <w:b/>
          <w:bCs/>
        </w:rPr>
        <w:t xml:space="preserve">Timing clarification:</w:t>
      </w:r>
      <w:r>
        <w:t xml:space="preserve"> </w:t>
      </w:r>
      <w:r>
        <w:t xml:space="preserve">Diamondback is scheduled to release Q2 results</w:t>
      </w:r>
      <w:r>
        <w:t xml:space="preserve"> </w:t>
      </w:r>
      <w:r>
        <w:rPr>
          <w:b/>
          <w:bCs/>
        </w:rPr>
        <w:t xml:space="preserve">today, Monday, August 3, 2026, after the market closes</w:t>
      </w:r>
      <w:r>
        <w:t xml:space="preserve">. The earnings call is</w:t>
      </w:r>
      <w:r>
        <w:t xml:space="preserve"> </w:t>
      </w:r>
      <w:r>
        <w:rPr>
          <w:b/>
          <w:bCs/>
        </w:rPr>
        <w:t xml:space="preserve">tomorrow, Tuesday, August 4, at 8:00 a.m. CT / 9:00 a.m. ET</w:t>
      </w:r>
      <w:r>
        <w:t xml:space="preserve">. (</w:t>
      </w:r>
      <w:hyperlink r:id="rId9">
        <w:r>
          <w:rPr>
            <w:rStyle w:val="Hyperlink"/>
          </w:rPr>
          <w:t xml:space="preserve">diamondbackenergy.com</w:t>
        </w:r>
      </w:hyperlink>
      <w:r>
        <w:t xml:space="preserve">)</w:t>
      </w:r>
    </w:p>
    <w:bookmarkStart w:id="11" w:name="executive-summary"/>
    <w:p>
      <w:pPr>
        <w:pStyle w:val="Heading2"/>
      </w:pPr>
      <w:r>
        <w:t xml:space="preserve">Executive summary</w:t>
      </w:r>
    </w:p>
    <w:p>
      <w:pPr>
        <w:pStyle w:val="FirstParagraph"/>
      </w:pPr>
      <w:r>
        <w:t xml:space="preserve">Diamondback enters the report with much of the commodity-price surprise already disclosed. Q2 realized oil pricing was exceptionally strong, while Permian natural-gas prices were deeply negative. The central question is therefore</w:t>
      </w:r>
      <w:r>
        <w:t xml:space="preserve"> </w:t>
      </w:r>
      <w:r>
        <w:rPr>
          <w:b/>
          <w:bCs/>
        </w:rPr>
        <w:t xml:space="preserve">not whether earnings increased sharply</w:t>
      </w:r>
      <w:r>
        <w:t xml:space="preserve">, but how effectively Diamondback converted the favorable oil environment into:</w:t>
      </w:r>
    </w:p>
    <w:p>
      <w:pPr>
        <w:pStyle w:val="Compact"/>
        <w:numPr>
          <w:ilvl w:val="0"/>
          <w:numId w:val="1001"/>
        </w:numPr>
      </w:pPr>
      <w:r>
        <w:rPr>
          <w:b/>
          <w:bCs/>
        </w:rPr>
        <w:t xml:space="preserve">Production growth without sacrificing capital efficiency</w:t>
      </w:r>
    </w:p>
    <w:p>
      <w:pPr>
        <w:pStyle w:val="Compact"/>
        <w:numPr>
          <w:ilvl w:val="0"/>
          <w:numId w:val="1001"/>
        </w:numPr>
      </w:pPr>
      <w:r>
        <w:rPr>
          <w:b/>
          <w:bCs/>
        </w:rPr>
        <w:t xml:space="preserve">Free cash flow and debt reduction</w:t>
      </w:r>
    </w:p>
    <w:p>
      <w:pPr>
        <w:pStyle w:val="Compact"/>
        <w:numPr>
          <w:ilvl w:val="0"/>
          <w:numId w:val="1001"/>
        </w:numPr>
      </w:pPr>
      <w:r>
        <w:rPr>
          <w:b/>
          <w:bCs/>
        </w:rPr>
        <w:t xml:space="preserve">A credible second-half operating plan</w:t>
      </w:r>
    </w:p>
    <w:p>
      <w:pPr>
        <w:pStyle w:val="Compact"/>
        <w:numPr>
          <w:ilvl w:val="0"/>
          <w:numId w:val="1001"/>
        </w:numPr>
      </w:pPr>
      <w:r>
        <w:rPr>
          <w:b/>
          <w:bCs/>
        </w:rPr>
        <w:t xml:space="preserve">Per-share value rather than simply higher spending</w:t>
      </w:r>
    </w:p>
    <w:p>
      <w:pPr>
        <w:pStyle w:val="FirstParagraph"/>
      </w:pPr>
      <w:r>
        <w:t xml:space="preserve">Public consensus aggregators cluster around</w:t>
      </w:r>
      <w:r>
        <w:t xml:space="preserve"> </w:t>
      </w:r>
      <m:oMath>
        <m:r>
          <m:t>6.08</m:t>
        </m:r>
        <m:r>
          <m:rPr>
            <m:sty m:val="p"/>
          </m:rPr>
          <m:t>–</m:t>
        </m:r>
      </m:oMath>
      <w:r>
        <w:rPr>
          <w:b/>
          <w:bCs/>
        </w:rPr>
        <w:t xml:space="preserve">6.12 of adjusted EPS</w:t>
      </w:r>
      <w:r>
        <w:t xml:space="preserve"> </w:t>
      </w:r>
      <w:r>
        <w:t xml:space="preserve">and approximately</w:t>
      </w:r>
      <w:r>
        <w:t xml:space="preserve"> </w:t>
      </w:r>
      <w:r>
        <w:rPr>
          <w:b/>
          <w:bCs/>
        </w:rPr>
        <w:t xml:space="preserve">$4.9 billion of revenue</w:t>
      </w:r>
      <w:r>
        <w:t xml:space="preserve">. (</w:t>
      </w:r>
      <w:hyperlink r:id="rId10">
        <w:r>
          <w:rPr>
            <w:rStyle w:val="Hyperlink"/>
          </w:rPr>
          <w:t xml:space="preserve">barchart.com</w:t>
        </w:r>
      </w:hyperlink>
      <w:r>
        <w:t xml:space="preserve">)</w:t>
      </w:r>
    </w:p>
    <w:p>
      <w:pPr>
        <w:pStyle w:val="BodyText"/>
      </w:pPr>
      <w:r>
        <w:t xml:space="preserve">My bias is that the headline results should be strong, but the stock reaction will depend much more heavily on</w:t>
      </w:r>
      <w:r>
        <w:t xml:space="preserve"> </w:t>
      </w:r>
      <w:r>
        <w:rPr>
          <w:b/>
          <w:bCs/>
        </w:rPr>
        <w:t xml:space="preserve">production guidance, capital allocation and management’s response to the recent oil-price reversal</w:t>
      </w:r>
      <w:r>
        <w:t xml:space="preserve">.</w:t>
      </w:r>
    </w:p>
    <w:p>
      <w:r>
        <w:pict>
          <v:rect style="width:0;height:1.5pt" o:hralign="center" o:hrstd="t" o:hr="t"/>
        </w:pict>
      </w:r>
    </w:p>
    <w:bookmarkEnd w:id="11"/>
    <w:bookmarkStart w:id="13" w:name="what-is-already-known"/>
    <w:p>
      <w:pPr>
        <w:pStyle w:val="Heading2"/>
      </w:pPr>
      <w:r>
        <w:t xml:space="preserve">What is already known</w:t>
      </w:r>
    </w:p>
    <w:p>
      <w:pPr>
        <w:pStyle w:val="FirstParagraph"/>
      </w:pPr>
      <w:r>
        <w:t xml:space="preserve">Diamondback pre-announced the following Q2 data: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disclosed</w:t>
            </w:r>
          </w:p>
        </w:tc>
        <w:tc>
          <w:tcPr/>
          <w:p>
            <w:pPr>
              <w:pStyle w:val="Compact"/>
              <w:jc w:val="right"/>
            </w:pPr>
            <w:r>
              <w:t xml:space="preserve">Q1 2026</w:t>
            </w:r>
          </w:p>
        </w:tc>
        <w:tc>
          <w:tcPr/>
          <w:p>
            <w:pPr>
              <w:pStyle w:val="Compact"/>
              <w:jc w:val="right"/>
            </w:pPr>
            <w:r>
              <w:t xml:space="preserve">Sequential change</w:t>
            </w:r>
          </w:p>
        </w:tc>
      </w:tr>
      <w:tr>
        <w:tc>
          <w:tcPr/>
          <w:p>
            <w:pPr>
              <w:pStyle w:val="Compact"/>
            </w:pPr>
            <w:r>
              <w:t xml:space="preserve">Unhedged oil realization</w:t>
            </w:r>
          </w:p>
        </w:tc>
        <w:tc>
          <w:tcPr/>
          <w:p>
            <w:pPr>
              <w:pStyle w:val="Compact"/>
              <w:jc w:val="right"/>
            </w:pPr>
            <w:r>
              <w:rPr>
                <w:b/>
                <w:bCs/>
              </w:rPr>
              <w:t xml:space="preserve">$96.82/bbl</w:t>
            </w:r>
          </w:p>
        </w:tc>
        <w:tc>
          <w:tcPr/>
          <w:p>
            <w:pPr>
              <w:pStyle w:val="Compact"/>
              <w:jc w:val="right"/>
            </w:pPr>
            <w:r>
              <w:t xml:space="preserve">$73.47/bbl</w:t>
            </w:r>
          </w:p>
        </w:tc>
        <w:tc>
          <w:tcPr/>
          <w:p>
            <w:pPr>
              <w:pStyle w:val="Compact"/>
              <w:jc w:val="right"/>
            </w:pPr>
            <w:r>
              <w:rPr>
                <w:b/>
                <w:bCs/>
              </w:rPr>
              <w:t xml:space="preserve">+32%</w:t>
            </w:r>
          </w:p>
        </w:tc>
      </w:tr>
      <w:tr>
        <w:tc>
          <w:tcPr/>
          <w:p>
            <w:pPr>
              <w:pStyle w:val="Compact"/>
            </w:pPr>
            <w:r>
              <w:t xml:space="preserve">Hedged oil realization</w:t>
            </w:r>
          </w:p>
        </w:tc>
        <w:tc>
          <w:tcPr/>
          <w:p>
            <w:pPr>
              <w:pStyle w:val="Compact"/>
              <w:jc w:val="right"/>
            </w:pPr>
            <w:r>
              <w:rPr>
                <w:b/>
                <w:bCs/>
              </w:rPr>
              <w:t xml:space="preserve">$94.33/bbl</w:t>
            </w:r>
          </w:p>
        </w:tc>
        <w:tc>
          <w:tcPr/>
          <w:p>
            <w:pPr>
              <w:pStyle w:val="Compact"/>
              <w:jc w:val="right"/>
            </w:pPr>
            <w:r>
              <w:t xml:space="preserve">$72.53/bbl</w:t>
            </w:r>
          </w:p>
        </w:tc>
        <w:tc>
          <w:tcPr/>
          <w:p>
            <w:pPr>
              <w:pStyle w:val="Compact"/>
              <w:jc w:val="right"/>
            </w:pPr>
            <w:r>
              <w:t xml:space="preserve">+30%</w:t>
            </w:r>
          </w:p>
        </w:tc>
      </w:tr>
      <w:tr>
        <w:tc>
          <w:tcPr/>
          <w:p>
            <w:pPr>
              <w:pStyle w:val="Compact"/>
            </w:pPr>
            <w:r>
              <w:t xml:space="preserve">Unhedged natural gas</w:t>
            </w:r>
          </w:p>
        </w:tc>
        <w:tc>
          <w:tcPr/>
          <w:p>
            <w:pPr>
              <w:pStyle w:val="Compact"/>
              <w:jc w:val="right"/>
            </w:pPr>
            <w:r>
              <w:rPr>
                <w:b/>
                <w:bCs/>
              </w:rPr>
              <w:t xml:space="preserve">$(2.15)/Mcf</w:t>
            </w:r>
          </w:p>
        </w:tc>
        <w:tc>
          <w:tcPr/>
          <w:p>
            <w:pPr>
              <w:pStyle w:val="Compact"/>
              <w:jc w:val="right"/>
            </w:pPr>
            <w:r>
              <w:t xml:space="preserve">$0.18/Mcf</w:t>
            </w:r>
          </w:p>
        </w:tc>
        <w:tc>
          <w:tcPr/>
          <w:p>
            <w:pPr>
              <w:pStyle w:val="Compact"/>
              <w:jc w:val="right"/>
            </w:pPr>
            <w:r>
              <w:t xml:space="preserve">Material deterioration</w:t>
            </w:r>
          </w:p>
        </w:tc>
      </w:tr>
      <w:tr>
        <w:tc>
          <w:tcPr/>
          <w:p>
            <w:pPr>
              <w:pStyle w:val="Compact"/>
            </w:pPr>
            <w:r>
              <w:t xml:space="preserve">Hedged natural gas</w:t>
            </w:r>
          </w:p>
        </w:tc>
        <w:tc>
          <w:tcPr/>
          <w:p>
            <w:pPr>
              <w:pStyle w:val="Compact"/>
              <w:jc w:val="right"/>
            </w:pPr>
            <w:r>
              <w:rPr>
                <w:b/>
                <w:bCs/>
              </w:rPr>
              <w:t xml:space="preserve">$(0.34)/Mcf</w:t>
            </w:r>
          </w:p>
        </w:tc>
        <w:tc>
          <w:tcPr/>
          <w:p>
            <w:pPr>
              <w:pStyle w:val="Compact"/>
              <w:jc w:val="right"/>
            </w:pPr>
            <w:r>
              <w:t xml:space="preserve">$1.90/Mcf</w:t>
            </w:r>
          </w:p>
        </w:tc>
        <w:tc>
          <w:tcPr/>
          <w:p>
            <w:pPr>
              <w:pStyle w:val="Compact"/>
              <w:jc w:val="right"/>
            </w:pPr>
            <w:r>
              <w:t xml:space="preserve">Material deterioration</w:t>
            </w:r>
          </w:p>
        </w:tc>
      </w:tr>
      <w:tr>
        <w:tc>
          <w:tcPr/>
          <w:p>
            <w:pPr>
              <w:pStyle w:val="Compact"/>
            </w:pPr>
            <w:r>
              <w:t xml:space="preserve">NGL realization</w:t>
            </w:r>
          </w:p>
        </w:tc>
        <w:tc>
          <w:tcPr/>
          <w:p>
            <w:pPr>
              <w:pStyle w:val="Compact"/>
              <w:jc w:val="right"/>
            </w:pPr>
            <w:r>
              <w:rPr>
                <w:b/>
                <w:bCs/>
              </w:rPr>
              <w:t xml:space="preserve">$18.56/bbl</w:t>
            </w:r>
          </w:p>
        </w:tc>
        <w:tc>
          <w:tcPr/>
          <w:p>
            <w:pPr>
              <w:pStyle w:val="Compact"/>
              <w:jc w:val="right"/>
            </w:pPr>
            <w:r>
              <w:t xml:space="preserve">$16.68/bbl</w:t>
            </w:r>
          </w:p>
        </w:tc>
        <w:tc>
          <w:tcPr/>
          <w:p>
            <w:pPr>
              <w:pStyle w:val="Compact"/>
              <w:jc w:val="right"/>
            </w:pPr>
            <w:r>
              <w:rPr>
                <w:b/>
                <w:bCs/>
              </w:rPr>
              <w:t xml:space="preserve">+11%</w:t>
            </w:r>
          </w:p>
        </w:tc>
      </w:tr>
      <w:tr>
        <w:tc>
          <w:tcPr/>
          <w:p>
            <w:pPr>
              <w:pStyle w:val="Compact"/>
            </w:pPr>
            <w:r>
              <w:t xml:space="preserve">Cash derivative settlements</w:t>
            </w:r>
          </w:p>
        </w:tc>
        <w:tc>
          <w:tcPr/>
          <w:p>
            <w:pPr>
              <w:pStyle w:val="Compact"/>
              <w:jc w:val="right"/>
            </w:pPr>
            <w:r>
              <w:rPr>
                <w:b/>
                <w:bCs/>
              </w:rPr>
              <w:t xml:space="preserve">$113 million gain</w:t>
            </w:r>
          </w:p>
        </w:tc>
        <w:tc>
          <w:tcPr/>
          <w:p>
            <w:pPr>
              <w:pStyle w:val="Compact"/>
              <w:jc w:val="right"/>
            </w:pPr>
            <w:r>
              <w:t xml:space="preserve">$133 million gain</w:t>
            </w:r>
          </w:p>
        </w:tc>
        <w:tc>
          <w:tcPr/>
          <w:p>
            <w:pPr>
              <w:pStyle w:val="Compact"/>
              <w:jc w:val="right"/>
            </w:pPr>
            <w:r>
              <w:t xml:space="preserve">Lower</w:t>
            </w:r>
          </w:p>
        </w:tc>
      </w:tr>
      <w:tr>
        <w:tc>
          <w:tcPr/>
          <w:p>
            <w:pPr>
              <w:pStyle w:val="Compact"/>
            </w:pPr>
            <w:r>
              <w:t xml:space="preserve">Non-cash derivative result</w:t>
            </w:r>
          </w:p>
        </w:tc>
        <w:tc>
          <w:tcPr/>
          <w:p>
            <w:pPr>
              <w:pStyle w:val="Compact"/>
              <w:jc w:val="right"/>
            </w:pPr>
            <w:r>
              <w:rPr>
                <w:b/>
                <w:bCs/>
              </w:rPr>
              <w:t xml:space="preserve">$64 million loss</w:t>
            </w:r>
          </w:p>
        </w:tc>
        <w:tc>
          <w:tcPr/>
          <w:p>
            <w:pPr>
              <w:pStyle w:val="Compact"/>
              <w:jc w:val="right"/>
            </w:pPr>
            <w:r>
              <w:t xml:space="preserve">$16 million loss</w:t>
            </w:r>
          </w:p>
        </w:tc>
        <w:tc>
          <w:tcPr/>
          <w:p>
            <w:pPr>
              <w:pStyle w:val="Compact"/>
              <w:jc w:val="right"/>
            </w:pPr>
            <w:r>
              <w:t xml:space="preserve">Larger loss</w:t>
            </w:r>
          </w:p>
        </w:tc>
      </w:tr>
      <w:tr>
        <w:tc>
          <w:tcPr/>
          <w:p>
            <w:pPr>
              <w:pStyle w:val="Compact"/>
            </w:pPr>
            <w:r>
              <w:t xml:space="preserve">Diluted weighted-average shares</w:t>
            </w:r>
          </w:p>
        </w:tc>
        <w:tc>
          <w:tcPr/>
          <w:p>
            <w:pPr>
              <w:pStyle w:val="Compact"/>
              <w:jc w:val="right"/>
            </w:pPr>
            <w:r>
              <w:rPr>
                <w:b/>
                <w:bCs/>
              </w:rPr>
              <w:t xml:space="preserve">281.2 million</w:t>
            </w:r>
          </w:p>
        </w:tc>
        <w:tc>
          <w:tcPr/>
          <w:p>
            <w:pPr>
              <w:pStyle w:val="Compact"/>
              <w:jc w:val="right"/>
            </w:pPr>
            <w:r>
              <w:t xml:space="preserve">282.8 million</w:t>
            </w:r>
          </w:p>
        </w:tc>
        <w:tc>
          <w:tcPr/>
          <w:p>
            <w:pPr>
              <w:pStyle w:val="Compact"/>
              <w:jc w:val="right"/>
            </w:pPr>
            <w:r>
              <w:rPr>
                <w:b/>
                <w:bCs/>
              </w:rPr>
              <w:t xml:space="preserve">–0.6%</w:t>
            </w:r>
          </w:p>
        </w:tc>
      </w:tr>
    </w:tbl>
    <w:p>
      <w:pPr>
        <w:pStyle w:val="BodyText"/>
      </w:pPr>
      <w:r>
        <w:t xml:space="preserve">The pre-announcement substantially reduces pricing uncertainty. Oil hedges surrendered roughly $2.49 per barrel of upside, but gas hedges significantly softened the effect of extremely weak Waha-area pricing. (</w:t>
      </w:r>
      <w:hyperlink r:id="rId12">
        <w:r>
          <w:rPr>
            <w:rStyle w:val="Hyperlink"/>
          </w:rPr>
          <w:t xml:space="preserve">diamondbackenergy.com</w:t>
        </w:r>
      </w:hyperlink>
      <w:r>
        <w:t xml:space="preserve">)</w:t>
      </w:r>
    </w:p>
    <w:p>
      <w:pPr>
        <w:pStyle w:val="BodyText"/>
      </w:pPr>
      <w:r>
        <w:t xml:space="preserve">At the midpoint of Q2 oil-production guidance—520,000 barrels per day—Diamondback would have generated approximately</w:t>
      </w:r>
      <w:r>
        <w:t xml:space="preserve"> </w:t>
      </w:r>
      <w:r>
        <w:rPr>
          <w:b/>
          <w:bCs/>
        </w:rPr>
        <w:t xml:space="preserve">$4.58 billion of gross oil revenue before royalties and production taxes</w:t>
      </w:r>
      <w:r>
        <w:t xml:space="preserve">. Each</w:t>
      </w:r>
      <w:r>
        <w:t xml:space="preserve"> </w:t>
      </w:r>
      <m:oMath>
        <m:r>
          <m:t>5</m:t>
        </m:r>
        <m:r>
          <m:rPr>
            <m:sty m:val="p"/>
          </m:rPr>
          <m:t>−</m:t>
        </m:r>
        <m:r>
          <m:t>p</m:t>
        </m:r>
        <m:r>
          <m:t>e</m:t>
        </m:r>
        <m:r>
          <m:t>r</m:t>
        </m:r>
        <m:r>
          <m:rPr>
            <m:sty m:val="p"/>
          </m:rPr>
          <m:t>−</m:t>
        </m:r>
        <m:r>
          <m:t>b</m:t>
        </m:r>
        <m:r>
          <m:t>a</m:t>
        </m:r>
        <m:r>
          <m:t>r</m:t>
        </m:r>
        <m:r>
          <m:t>r</m:t>
        </m:r>
        <m:r>
          <m:t>e</m:t>
        </m:r>
        <m:r>
          <m:t>l</m:t>
        </m:r>
        <m:r>
          <m:t>c</m:t>
        </m:r>
        <m:r>
          <m:t>h</m:t>
        </m:r>
        <m:r>
          <m:t>a</m:t>
        </m:r>
        <m:r>
          <m:t>n</m:t>
        </m:r>
        <m:r>
          <m:t>g</m:t>
        </m:r>
        <m:r>
          <m:t>e</m:t>
        </m:r>
        <m:r>
          <m:t>i</m:t>
        </m:r>
        <m:r>
          <m:t>n</m:t>
        </m:r>
        <m:r>
          <m:t>q</m:t>
        </m:r>
        <m:r>
          <m:t>u</m:t>
        </m:r>
        <m:r>
          <m:t>a</m:t>
        </m:r>
        <m:r>
          <m:t>r</m:t>
        </m:r>
        <m:r>
          <m:t>t</m:t>
        </m:r>
        <m:r>
          <m:t>e</m:t>
        </m:r>
        <m:r>
          <m:t>r</m:t>
        </m:r>
        <m:r>
          <m:t>l</m:t>
        </m:r>
        <m:r>
          <m:t>y</m:t>
        </m:r>
        <m:r>
          <m:t>o</m:t>
        </m:r>
        <m:r>
          <m:t>i</m:t>
        </m:r>
        <m:r>
          <m:t>l</m:t>
        </m:r>
        <m:r>
          <m:t>r</m:t>
        </m:r>
        <m:r>
          <m:t>e</m:t>
        </m:r>
        <m:r>
          <m:t>a</m:t>
        </m:r>
        <m:r>
          <m:t>l</m:t>
        </m:r>
        <m:r>
          <m:t>i</m:t>
        </m:r>
        <m:r>
          <m:t>z</m:t>
        </m:r>
        <m:r>
          <m:t>a</m:t>
        </m:r>
        <m:r>
          <m:t>t</m:t>
        </m:r>
        <m:r>
          <m:t>i</m:t>
        </m:r>
        <m:r>
          <m:t>o</m:t>
        </m:r>
        <m:r>
          <m:t>n</m:t>
        </m:r>
        <m:r>
          <m:t>i</m:t>
        </m:r>
        <m:r>
          <m:t>s</m:t>
        </m:r>
        <m:r>
          <m:t>w</m:t>
        </m:r>
        <m:r>
          <m:t>o</m:t>
        </m:r>
        <m:r>
          <m:t>r</m:t>
        </m:r>
        <m:r>
          <m:t>t</m:t>
        </m:r>
        <m:r>
          <m:t>h</m:t>
        </m:r>
        <m:r>
          <m:t>r</m:t>
        </m:r>
        <m:r>
          <m:t>o</m:t>
        </m:r>
        <m:r>
          <m:t>u</m:t>
        </m:r>
        <m:r>
          <m:t>g</m:t>
        </m:r>
        <m:r>
          <m:t>h</m:t>
        </m:r>
        <m:r>
          <m:t>l</m:t>
        </m:r>
        <m:r>
          <m:t>y</m:t>
        </m:r>
        <m:r>
          <m:rPr>
            <m:sty m:val="p"/>
          </m:rPr>
          <m:t>*</m:t>
        </m:r>
        <m:r>
          <m:rPr>
            <m:sty m:val="p"/>
          </m:rPr>
          <m:t>*</m:t>
        </m:r>
      </m:oMath>
      <w:r>
        <w:t xml:space="preserve">237 million of gross revenue** at that production level, illustrating why the disclosed oil price should produce a major cash-flow step-up.</w:t>
      </w:r>
    </w:p>
    <w:p>
      <w:r>
        <w:pict>
          <v:rect style="width:0;height:1.5pt" o:hralign="center" o:hrstd="t" o:hr="t"/>
        </w:pict>
      </w:r>
    </w:p>
    <w:bookmarkEnd w:id="13"/>
    <w:bookmarkStart w:id="24" w:name="X838716101c98bec4c2a975af3c0d7a887bec512"/>
    <w:p>
      <w:pPr>
        <w:pStyle w:val="Heading2"/>
      </w:pPr>
      <w:r>
        <w:t xml:space="preserve">The principal issues going into the report</w:t>
      </w:r>
    </w:p>
    <w:bookmarkStart w:id="15" w:name="Xd0c2f1030aaed5d42585917df0693d60c2e93bc"/>
    <w:p>
      <w:pPr>
        <w:pStyle w:val="Heading3"/>
      </w:pPr>
      <w:r>
        <w:t xml:space="preserve">1. Did production reach or exceed the top of guidance?</w:t>
      </w:r>
    </w:p>
    <w:p>
      <w:pPr>
        <w:pStyle w:val="FirstParagraph"/>
      </w:pPr>
      <w:r>
        <w:t xml:space="preserve">Diamondback guided to:</w:t>
      </w:r>
    </w:p>
    <w:p>
      <w:pPr>
        <w:pStyle w:val="Compact"/>
        <w:numPr>
          <w:ilvl w:val="0"/>
          <w:numId w:val="1002"/>
        </w:numPr>
      </w:pPr>
      <w:r>
        <w:rPr>
          <w:b/>
          <w:bCs/>
        </w:rPr>
        <w:t xml:space="preserve">Oil:</w:t>
      </w:r>
      <w:r>
        <w:t xml:space="preserve"> </w:t>
      </w:r>
      <w:r>
        <w:t xml:space="preserve">515–525 Mbo/d</w:t>
      </w:r>
    </w:p>
    <w:p>
      <w:pPr>
        <w:pStyle w:val="Compact"/>
        <w:numPr>
          <w:ilvl w:val="0"/>
          <w:numId w:val="1002"/>
        </w:numPr>
      </w:pPr>
      <w:r>
        <w:rPr>
          <w:b/>
          <w:bCs/>
        </w:rPr>
        <w:t xml:space="preserve">Total production:</w:t>
      </w:r>
      <w:r>
        <w:t xml:space="preserve"> </w:t>
      </w:r>
      <w:r>
        <w:t xml:space="preserve">950–990 Mboe/d</w:t>
      </w:r>
    </w:p>
    <w:p>
      <w:pPr>
        <w:pStyle w:val="Compact"/>
        <w:numPr>
          <w:ilvl w:val="0"/>
          <w:numId w:val="1002"/>
        </w:numPr>
      </w:pPr>
      <w:r>
        <w:rPr>
          <w:b/>
          <w:bCs/>
        </w:rPr>
        <w:t xml:space="preserve">Q2 capital expenditures:</w:t>
      </w:r>
      <w:r>
        <w:t xml:space="preserve"> </w:t>
      </w:r>
      <m:oMath>
        <m:r>
          <m:t>925</m:t>
        </m:r>
        <m:r>
          <m:t>m</m:t>
        </m:r>
        <m:r>
          <m:t>i</m:t>
        </m:r>
        <m:r>
          <m:t>l</m:t>
        </m:r>
        <m:r>
          <m:t>l</m:t>
        </m:r>
        <m:r>
          <m:t>i</m:t>
        </m:r>
        <m:r>
          <m:t>o</m:t>
        </m:r>
        <m:r>
          <m:t>n</m:t>
        </m:r>
        <m:r>
          <m:rPr>
            <m:sty m:val="p"/>
          </m:rPr>
          <m:t>–</m:t>
        </m:r>
      </m:oMath>
      <w:r>
        <w:t xml:space="preserve">1.025 billion</w:t>
      </w:r>
    </w:p>
    <w:p>
      <w:pPr>
        <w:pStyle w:val="FirstParagraph"/>
      </w:pPr>
      <w:r>
        <w:t xml:space="preserve">The company also raised full-year guidance last quarter to:</w:t>
      </w:r>
    </w:p>
    <w:p>
      <w:pPr>
        <w:pStyle w:val="Compact"/>
        <w:numPr>
          <w:ilvl w:val="0"/>
          <w:numId w:val="1003"/>
        </w:numPr>
      </w:pPr>
      <w:r>
        <w:rPr>
          <w:b/>
          <w:bCs/>
        </w:rPr>
        <w:t xml:space="preserve">Oil:</w:t>
      </w:r>
      <w:r>
        <w:t xml:space="preserve"> </w:t>
      </w:r>
      <w:r>
        <w:t xml:space="preserve">520+ Mbo/d</w:t>
      </w:r>
    </w:p>
    <w:p>
      <w:pPr>
        <w:pStyle w:val="Compact"/>
        <w:numPr>
          <w:ilvl w:val="0"/>
          <w:numId w:val="1003"/>
        </w:numPr>
      </w:pPr>
      <w:r>
        <w:rPr>
          <w:b/>
          <w:bCs/>
        </w:rPr>
        <w:t xml:space="preserve">Total production:</w:t>
      </w:r>
      <w:r>
        <w:t xml:space="preserve"> </w:t>
      </w:r>
      <w:r>
        <w:t xml:space="preserve">972+ Mboe/d</w:t>
      </w:r>
    </w:p>
    <w:p>
      <w:pPr>
        <w:pStyle w:val="Compact"/>
        <w:numPr>
          <w:ilvl w:val="0"/>
          <w:numId w:val="1003"/>
        </w:numPr>
      </w:pPr>
      <w:r>
        <w:rPr>
          <w:b/>
          <w:bCs/>
        </w:rPr>
        <w:t xml:space="preserve">Capital expenditures:</w:t>
      </w:r>
      <w:r>
        <w:t xml:space="preserve"> </w:t>
      </w:r>
      <w:r>
        <w:t xml:space="preserve">approximately $3.9 billion</w:t>
      </w:r>
    </w:p>
    <w:p>
      <w:pPr>
        <w:pStyle w:val="FirstParagraph"/>
      </w:pPr>
      <w:r>
        <w:t xml:space="preserve">Q1 oil production was already 521 Mbo/d, helped by stronger wells, reduced downtime and operating improvements following the Endeavor integration. (</w:t>
      </w:r>
      <w:hyperlink r:id="rId14">
        <w:r>
          <w:rPr>
            <w:rStyle w:val="Hyperlink"/>
          </w:rPr>
          <w:t xml:space="preserve">ir.diamondbackenergy.com</w:t>
        </w:r>
      </w:hyperlink>
      <w:r>
        <w:t xml:space="preserve">)</w:t>
      </w:r>
    </w:p>
    <w:p>
      <w:pPr>
        <w:pStyle w:val="BodyText"/>
      </w:pPr>
      <w:r>
        <w:rPr>
          <w:b/>
          <w:bCs/>
        </w:rPr>
        <w:t xml:space="preserve">What would constitute a good result:</w:t>
      </w:r>
    </w:p>
    <w:p>
      <w:pPr>
        <w:pStyle w:val="Compact"/>
        <w:numPr>
          <w:ilvl w:val="0"/>
          <w:numId w:val="1004"/>
        </w:numPr>
      </w:pPr>
      <w:r>
        <w:t xml:space="preserve">Oil production of approximately</w:t>
      </w:r>
      <w:r>
        <w:t xml:space="preserve"> </w:t>
      </w:r>
      <w:r>
        <w:rPr>
          <w:b/>
          <w:bCs/>
        </w:rPr>
        <w:t xml:space="preserve">522–525 Mbo/d or better</w:t>
      </w:r>
    </w:p>
    <w:p>
      <w:pPr>
        <w:pStyle w:val="Compact"/>
        <w:numPr>
          <w:ilvl w:val="0"/>
          <w:numId w:val="1004"/>
        </w:numPr>
      </w:pPr>
      <w:r>
        <w:t xml:space="preserve">Total production around or above the midpoint</w:t>
      </w:r>
    </w:p>
    <w:p>
      <w:pPr>
        <w:pStyle w:val="Compact"/>
        <w:numPr>
          <w:ilvl w:val="0"/>
          <w:numId w:val="1004"/>
        </w:numPr>
      </w:pPr>
      <w:r>
        <w:t xml:space="preserve">Capital spending no higher than the midpoint</w:t>
      </w:r>
    </w:p>
    <w:p>
      <w:pPr>
        <w:pStyle w:val="Compact"/>
        <w:numPr>
          <w:ilvl w:val="0"/>
          <w:numId w:val="1004"/>
        </w:numPr>
      </w:pPr>
      <w:r>
        <w:t xml:space="preserve">No evidence that negative gas economics materially disrupted oil production</w:t>
      </w:r>
    </w:p>
    <w:p>
      <w:pPr>
        <w:pStyle w:val="FirstParagraph"/>
      </w:pPr>
      <w:r>
        <w:t xml:space="preserve">A production beat accompanied by capex near $1 billion would support the thesis that Diamondback’s incremental activity is capital-efficient. A beat produced by meaningfully higher spending would be less impressive.</w:t>
      </w:r>
    </w:p>
    <w:bookmarkEnd w:id="15"/>
    <w:bookmarkStart w:id="17" w:name="Xc6bc771b16c9186ecfa6f2cbaf99d8197c12b62"/>
    <w:p>
      <w:pPr>
        <w:pStyle w:val="Heading3"/>
      </w:pPr>
      <w:r>
        <w:t xml:space="preserve">2. Free cash flow should be the headline strength</w:t>
      </w:r>
    </w:p>
    <w:p>
      <w:pPr>
        <w:pStyle w:val="FirstParagraph"/>
      </w:pPr>
      <w:r>
        <w:t xml:space="preserve">Q1 produced</w:t>
      </w:r>
      <w:r>
        <w:t xml:space="preserve"> </w:t>
      </w:r>
      <w:r>
        <w:rPr>
          <w:b/>
          <w:bCs/>
        </w:rPr>
        <w:t xml:space="preserve">$1.7 billion of adjusted free cash flow</w:t>
      </w:r>
      <w:r>
        <w:t xml:space="preserve"> </w:t>
      </w:r>
      <w:r>
        <w:t xml:space="preserve">on a $73.47-per-barrel oil realization and $933 million of capital spending. Q2 oil realization was nearly</w:t>
      </w:r>
      <w:r>
        <w:t xml:space="preserve"> </w:t>
      </w:r>
      <m:oMath>
        <m:r>
          <m:t>23.35</m:t>
        </m:r>
        <m:r>
          <m:t>p</m:t>
        </m:r>
        <m:r>
          <m:t>e</m:t>
        </m:r>
        <m:r>
          <m:t>r</m:t>
        </m:r>
        <m:r>
          <m:t>b</m:t>
        </m:r>
        <m:r>
          <m:t>a</m:t>
        </m:r>
        <m:r>
          <m:t>r</m:t>
        </m:r>
        <m:r>
          <m:t>r</m:t>
        </m:r>
        <m:r>
          <m:t>e</m:t>
        </m:r>
        <m:r>
          <m:t>l</m:t>
        </m:r>
        <m:r>
          <m:t>h</m:t>
        </m:r>
        <m:r>
          <m:t>i</m:t>
        </m:r>
        <m:r>
          <m:t>g</m:t>
        </m:r>
        <m:r>
          <m:t>h</m:t>
        </m:r>
        <m:r>
          <m:t>e</m:t>
        </m:r>
        <m:r>
          <m:t>r</m:t>
        </m:r>
        <m:r>
          <m:rPr>
            <m:sty m:val="p"/>
          </m:rPr>
          <m:t>,</m:t>
        </m:r>
        <m:r>
          <m:t>w</m:t>
        </m:r>
        <m:r>
          <m:t>h</m:t>
        </m:r>
        <m:r>
          <m:t>i</m:t>
        </m:r>
        <m:r>
          <m:t>l</m:t>
        </m:r>
        <m:r>
          <m:t>e</m:t>
        </m:r>
        <m:r>
          <m:t>g</m:t>
        </m:r>
        <m:r>
          <m:t>u</m:t>
        </m:r>
        <m:r>
          <m:t>i</m:t>
        </m:r>
        <m:r>
          <m:t>d</m:t>
        </m:r>
        <m:r>
          <m:t>e</m:t>
        </m:r>
        <m:r>
          <m:t>d</m:t>
        </m:r>
        <m:r>
          <m:t>c</m:t>
        </m:r>
        <m:r>
          <m:t>a</m:t>
        </m:r>
        <m:r>
          <m:t>p</m:t>
        </m:r>
        <m:r>
          <m:t>i</m:t>
        </m:r>
        <m:r>
          <m:t>t</m:t>
        </m:r>
        <m:r>
          <m:t>a</m:t>
        </m:r>
        <m:r>
          <m:t>l</m:t>
        </m:r>
        <m:r>
          <m:t>s</m:t>
        </m:r>
        <m:r>
          <m:t>p</m:t>
        </m:r>
        <m:r>
          <m:t>e</m:t>
        </m:r>
        <m:r>
          <m:t>n</m:t>
        </m:r>
        <m:r>
          <m:t>d</m:t>
        </m:r>
        <m:r>
          <m:t>i</m:t>
        </m:r>
        <m:r>
          <m:t>n</m:t>
        </m:r>
        <m:r>
          <m:t>g</m:t>
        </m:r>
        <m:r>
          <m:t>w</m:t>
        </m:r>
        <m:r>
          <m:t>a</m:t>
        </m:r>
        <m:r>
          <m:t>s</m:t>
        </m:r>
        <m:r>
          <m:t>b</m:t>
        </m:r>
        <m:r>
          <m:t>r</m:t>
        </m:r>
        <m:r>
          <m:t>o</m:t>
        </m:r>
        <m:r>
          <m:t>a</m:t>
        </m:r>
        <m:r>
          <m:t>d</m:t>
        </m:r>
        <m:r>
          <m:t>l</m:t>
        </m:r>
        <m:r>
          <m:t>y</m:t>
        </m:r>
        <m:r>
          <m:t>s</m:t>
        </m:r>
        <m:r>
          <m:t>i</m:t>
        </m:r>
        <m:r>
          <m:t>m</m:t>
        </m:r>
        <m:r>
          <m:t>i</m:t>
        </m:r>
        <m:r>
          <m:t>l</m:t>
        </m:r>
        <m:r>
          <m:t>a</m:t>
        </m:r>
        <m:r>
          <m:t>r</m:t>
        </m:r>
        <m:r>
          <m:rPr>
            <m:sty m:val="p"/>
          </m:rPr>
          <m:t>.</m:t>
        </m:r>
        <m:r>
          <m:t>Q</m:t>
        </m:r>
        <m:r>
          <m:t>2</m:t>
        </m:r>
        <m:r>
          <m:t>a</m:t>
        </m:r>
        <m:r>
          <m:t>l</m:t>
        </m:r>
        <m:r>
          <m:t>s</m:t>
        </m:r>
        <m:r>
          <m:t>o</m:t>
        </m:r>
        <m:r>
          <m:t>c</m:t>
        </m:r>
        <m:r>
          <m:t>a</m:t>
        </m:r>
        <m:r>
          <m:t>r</m:t>
        </m:r>
        <m:r>
          <m:t>r</m:t>
        </m:r>
        <m:r>
          <m:t>i</m:t>
        </m:r>
        <m:r>
          <m:t>e</m:t>
        </m:r>
        <m:r>
          <m:t>s</m:t>
        </m:r>
        <m:r>
          <m:t>a</m:t>
        </m:r>
        <m:r>
          <m:t>s</m:t>
        </m:r>
        <m:r>
          <m:t>u</m:t>
        </m:r>
        <m:r>
          <m:t>b</m:t>
        </m:r>
        <m:r>
          <m:t>s</m:t>
        </m:r>
        <m:r>
          <m:t>t</m:t>
        </m:r>
        <m:r>
          <m:t>a</m:t>
        </m:r>
        <m:r>
          <m:t>n</m:t>
        </m:r>
        <m:r>
          <m:t>t</m:t>
        </m:r>
        <m:r>
          <m:t>i</m:t>
        </m:r>
        <m:r>
          <m:t>a</m:t>
        </m:r>
        <m:r>
          <m:t>l</m:t>
        </m:r>
        <m:r>
          <m:rPr>
            <m:sty m:val="p"/>
          </m:rPr>
          <m:t>*</m:t>
        </m:r>
        <m:r>
          <m:rPr>
            <m:sty m:val="p"/>
          </m:rPr>
          <m:t>*</m:t>
        </m:r>
      </m:oMath>
      <w:r>
        <w:t xml:space="preserve">440 million–$500 million cash-tax guide**, but free cash flow should nevertheless rise materially from Q1 if volumes and operating costs remain controlled. (</w:t>
      </w:r>
      <w:hyperlink r:id="rId16">
        <w:r>
          <w:rPr>
            <w:rStyle w:val="Hyperlink"/>
          </w:rPr>
          <w:t xml:space="preserve">ir.diamondbackenergy.com</w:t>
        </w:r>
      </w:hyperlink>
      <w:r>
        <w:t xml:space="preserve">)</w:t>
      </w:r>
    </w:p>
    <w:p>
      <w:pPr>
        <w:pStyle w:val="BodyText"/>
      </w:pPr>
      <w:r>
        <w:t xml:space="preserve">The important number is not merely adjusted EPS. Investors should focus on:</w:t>
      </w:r>
    </w:p>
    <w:p>
      <w:pPr>
        <w:pStyle w:val="Compact"/>
        <w:numPr>
          <w:ilvl w:val="0"/>
          <w:numId w:val="1005"/>
        </w:numPr>
      </w:pPr>
      <w:r>
        <w:t xml:space="preserve">Operating cash flow before working-capital changes</w:t>
      </w:r>
    </w:p>
    <w:p>
      <w:pPr>
        <w:pStyle w:val="Compact"/>
        <w:numPr>
          <w:ilvl w:val="0"/>
          <w:numId w:val="1005"/>
        </w:numPr>
      </w:pPr>
      <w:r>
        <w:t xml:space="preserve">Adjusted free cash flow</w:t>
      </w:r>
    </w:p>
    <w:p>
      <w:pPr>
        <w:pStyle w:val="Compact"/>
        <w:numPr>
          <w:ilvl w:val="0"/>
          <w:numId w:val="1005"/>
        </w:numPr>
      </w:pPr>
      <w:r>
        <w:t xml:space="preserve">Free cash flow per diluted share</w:t>
      </w:r>
    </w:p>
    <w:p>
      <w:pPr>
        <w:pStyle w:val="Compact"/>
        <w:numPr>
          <w:ilvl w:val="0"/>
          <w:numId w:val="1005"/>
        </w:numPr>
      </w:pPr>
      <w:r>
        <w:t xml:space="preserve">Net debt at June 30</w:t>
      </w:r>
    </w:p>
    <w:p>
      <w:pPr>
        <w:pStyle w:val="Compact"/>
        <w:numPr>
          <w:ilvl w:val="0"/>
          <w:numId w:val="1005"/>
        </w:numPr>
      </w:pPr>
      <w:r>
        <w:t xml:space="preserve">Capital returned versus debt retired</w:t>
      </w:r>
    </w:p>
    <w:p>
      <w:pPr>
        <w:pStyle w:val="FirstParagraph"/>
      </w:pPr>
      <w:r>
        <w:t xml:space="preserve">A result that meets EPS consensus but shows weaker cash conversion—because of taxes, working capital, rising field costs or unexpectedly high capex—would be a disappointment.</w:t>
      </w:r>
    </w:p>
    <w:bookmarkEnd w:id="17"/>
    <w:bookmarkStart w:id="19" w:name="Xec3280538f3135437b26aa7cb6df9ad47922935"/>
    <w:p>
      <w:pPr>
        <w:pStyle w:val="Heading3"/>
      </w:pPr>
      <w:r>
        <w:t xml:space="preserve">3. Debt reduction versus buybacks</w:t>
      </w:r>
    </w:p>
    <w:p>
      <w:pPr>
        <w:pStyle w:val="FirstParagraph"/>
      </w:pPr>
      <w:r>
        <w:t xml:space="preserve">Diamondback ended March with consolidated net debt of approximately</w:t>
      </w:r>
      <w:r>
        <w:t xml:space="preserve"> </w:t>
      </w:r>
      <m:oMath>
        <m:r>
          <m:t>13.9</m:t>
        </m:r>
        <m:r>
          <m:t>b</m:t>
        </m:r>
        <m:r>
          <m:t>i</m:t>
        </m:r>
        <m:r>
          <m:t>l</m:t>
        </m:r>
        <m:r>
          <m:t>l</m:t>
        </m:r>
        <m:r>
          <m:t>i</m:t>
        </m:r>
        <m:r>
          <m:t>o</m:t>
        </m:r>
        <m:r>
          <m:t>n</m:t>
        </m:r>
        <m:r>
          <m:rPr>
            <m:sty m:val="p"/>
          </m:rPr>
          <m:t>*</m:t>
        </m:r>
        <m:r>
          <m:rPr>
            <m:sty m:val="p"/>
          </m:rPr>
          <m:t>*</m:t>
        </m:r>
        <m:r>
          <m:rPr>
            <m:sty m:val="p"/>
          </m:rPr>
          <m:t>.</m:t>
        </m:r>
        <m:r>
          <m:t>A</m:t>
        </m:r>
        <m:r>
          <m:t>f</m:t>
        </m:r>
        <m:r>
          <m:t>t</m:t>
        </m:r>
        <m:r>
          <m:t>e</m:t>
        </m:r>
        <m:r>
          <m:t>r</m:t>
        </m:r>
        <m:r>
          <m:t>A</m:t>
        </m:r>
        <m:r>
          <m:t>p</m:t>
        </m:r>
        <m:r>
          <m:t>r</m:t>
        </m:r>
        <m:r>
          <m:t>i</m:t>
        </m:r>
        <m:r>
          <m:t>l</m:t>
        </m:r>
        <m:r>
          <m:rPr>
            <m:sty m:val="p"/>
          </m:rPr>
          <m:t>’</m:t>
        </m:r>
        <m:r>
          <m:t>s</m:t>
        </m:r>
        <m:r>
          <m:t>t</m:t>
        </m:r>
        <m:r>
          <m:t>e</m:t>
        </m:r>
        <m:r>
          <m:t>r</m:t>
        </m:r>
        <m:r>
          <m:t>m</m:t>
        </m:r>
        <m:r>
          <m:rPr>
            <m:sty m:val="p"/>
          </m:rPr>
          <m:t>−</m:t>
        </m:r>
        <m:r>
          <m:t>l</m:t>
        </m:r>
        <m:r>
          <m:t>o</m:t>
        </m:r>
        <m:r>
          <m:t>a</m:t>
        </m:r>
        <m:r>
          <m:t>n</m:t>
        </m:r>
        <m:r>
          <m:t>r</m:t>
        </m:r>
        <m:r>
          <m:t>e</m:t>
        </m:r>
        <m:r>
          <m:t>p</m:t>
        </m:r>
        <m:r>
          <m:t>a</m:t>
        </m:r>
        <m:r>
          <m:t>y</m:t>
        </m:r>
        <m:r>
          <m:t>m</m:t>
        </m:r>
        <m:r>
          <m:t>e</m:t>
        </m:r>
        <m:r>
          <m:t>n</m:t>
        </m:r>
        <m:r>
          <m:t>t</m:t>
        </m:r>
        <m:r>
          <m:t>a</m:t>
        </m:r>
        <m:r>
          <m:t>n</m:t>
        </m:r>
        <m:r>
          <m:t>d</m:t>
        </m:r>
        <m:r>
          <m:t>d</m:t>
        </m:r>
        <m:r>
          <m:t>i</m:t>
        </m:r>
        <m:r>
          <m:t>s</m:t>
        </m:r>
        <m:r>
          <m:t>c</m:t>
        </m:r>
        <m:r>
          <m:t>o</m:t>
        </m:r>
        <m:r>
          <m:t>u</m:t>
        </m:r>
        <m:r>
          <m:t>n</m:t>
        </m:r>
        <m:r>
          <m:t>t</m:t>
        </m:r>
        <m:r>
          <m:t>e</m:t>
        </m:r>
        <m:r>
          <m:t>d</m:t>
        </m:r>
        <m:r>
          <m:t>b</m:t>
        </m:r>
        <m:r>
          <m:t>o</m:t>
        </m:r>
        <m:r>
          <m:t>n</m:t>
        </m:r>
        <m:r>
          <m:t>d</m:t>
        </m:r>
        <m:r>
          <m:t>t</m:t>
        </m:r>
        <m:r>
          <m:t>e</m:t>
        </m:r>
        <m:r>
          <m:t>n</m:t>
        </m:r>
        <m:r>
          <m:t>d</m:t>
        </m:r>
        <m:r>
          <m:t>e</m:t>
        </m:r>
        <m:r>
          <m:t>r</m:t>
        </m:r>
        <m:r>
          <m:rPr>
            <m:sty m:val="p"/>
          </m:rPr>
          <m:t>,</m:t>
        </m:r>
        <m:r>
          <m:t>m</m:t>
        </m:r>
        <m:r>
          <m:t>a</m:t>
        </m:r>
        <m:r>
          <m:t>n</m:t>
        </m:r>
        <m:r>
          <m:t>a</m:t>
        </m:r>
        <m:r>
          <m:t>g</m:t>
        </m:r>
        <m:r>
          <m:t>e</m:t>
        </m:r>
        <m:r>
          <m:t>m</m:t>
        </m:r>
        <m:r>
          <m:t>e</m:t>
        </m:r>
        <m:r>
          <m:t>n</m:t>
        </m:r>
        <m:r>
          <m:t>t</m:t>
        </m:r>
        <m:r>
          <m:t>r</m:t>
        </m:r>
        <m:r>
          <m:t>e</m:t>
        </m:r>
        <m:r>
          <m:t>p</m:t>
        </m:r>
        <m:r>
          <m:t>o</m:t>
        </m:r>
        <m:r>
          <m:t>r</m:t>
        </m:r>
        <m:r>
          <m:t>t</m:t>
        </m:r>
        <m:r>
          <m:t>e</m:t>
        </m:r>
        <m:r>
          <m:t>d</m:t>
        </m:r>
        <m:r>
          <m:t>p</m:t>
        </m:r>
        <m:r>
          <m:t>r</m:t>
        </m:r>
        <m:r>
          <m:t>o</m:t>
        </m:r>
        <m:r>
          <m:t>f</m:t>
        </m:r>
        <m:r>
          <m:t>o</m:t>
        </m:r>
        <m:r>
          <m:t>r</m:t>
        </m:r>
        <m:r>
          <m:t>m</m:t>
        </m:r>
        <m:r>
          <m:t>a</m:t>
        </m:r>
        <m:r>
          <m:t>g</m:t>
        </m:r>
        <m:r>
          <m:t>r</m:t>
        </m:r>
        <m:r>
          <m:t>o</m:t>
        </m:r>
        <m:r>
          <m:t>s</m:t>
        </m:r>
        <m:r>
          <m:t>s</m:t>
        </m:r>
        <m:r>
          <m:t>d</m:t>
        </m:r>
        <m:r>
          <m:t>e</m:t>
        </m:r>
        <m:r>
          <m:t>b</m:t>
        </m:r>
        <m:r>
          <m:t>t</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12.7 billion</w:t>
      </w:r>
      <w:r>
        <w:t xml:space="preserve">. It had also increased its quarterly base dividend to</w:t>
      </w:r>
      <w:r>
        <w:t xml:space="preserve"> </w:t>
      </w:r>
      <m:oMath>
        <m:r>
          <m:t>1.10</m:t>
        </m:r>
        <m:r>
          <m:t>p</m:t>
        </m:r>
        <m:r>
          <m:t>e</m:t>
        </m:r>
        <m:r>
          <m:t>r</m:t>
        </m:r>
        <m:r>
          <m:t>s</m:t>
        </m:r>
        <m:r>
          <m:t>h</m:t>
        </m:r>
        <m:r>
          <m:t>a</m:t>
        </m:r>
        <m:r>
          <m:t>r</m:t>
        </m:r>
        <m:r>
          <m:t>e</m:t>
        </m:r>
        <m:r>
          <m:rPr>
            <m:sty m:val="p"/>
          </m:rPr>
          <m:t>*</m:t>
        </m:r>
        <m:r>
          <m:rPr>
            <m:sty m:val="p"/>
          </m:rPr>
          <m:t>*</m:t>
        </m:r>
        <m:r>
          <m:t>a</m:t>
        </m:r>
        <m:r>
          <m:t>n</m:t>
        </m:r>
        <m:r>
          <m:t>d</m:t>
        </m:r>
        <m:r>
          <m:t>h</m:t>
        </m:r>
        <m:r>
          <m:t>a</m:t>
        </m:r>
        <m:r>
          <m:t>d</m:t>
        </m:r>
        <m:r>
          <m:t>a</m:t>
        </m:r>
        <m:r>
          <m:t>b</m:t>
        </m:r>
        <m:r>
          <m:t>o</m:t>
        </m:r>
        <m:r>
          <m:t>u</m:t>
        </m:r>
        <m:r>
          <m:t>t</m:t>
        </m:r>
        <m:r>
          <m:rPr>
            <m:sty m:val="p"/>
          </m:rPr>
          <m:t>*</m:t>
        </m:r>
        <m:r>
          <m:rPr>
            <m:sty m:val="p"/>
          </m:rPr>
          <m:t>*</m:t>
        </m:r>
      </m:oMath>
      <w:r>
        <w:rPr>
          <w:b/>
          <w:bCs/>
        </w:rPr>
        <w:t xml:space="preserve">2.1 billion remaining under its repurchase authorization</w:t>
      </w:r>
      <w:r>
        <w:t xml:space="preserve"> </w:t>
      </w:r>
      <w:r>
        <w:t xml:space="preserve">as of May 1. (</w:t>
      </w:r>
      <w:hyperlink r:id="rId16">
        <w:r>
          <w:rPr>
            <w:rStyle w:val="Hyperlink"/>
          </w:rPr>
          <w:t xml:space="preserve">ir.diamondbackenergy.com</w:t>
        </w:r>
      </w:hyperlink>
      <w:r>
        <w:t xml:space="preserve">)</w:t>
      </w:r>
    </w:p>
    <w:p>
      <w:pPr>
        <w:pStyle w:val="BodyText"/>
      </w:pPr>
      <w:r>
        <w:t xml:space="preserve">On the Q1 call, management emphasized that elevated oil prices made rapid debt reduction more attractive than mechanically maximizing near-term buybacks. The stated aim was to move toward approximately $10 billion of net debt sooner than previously expected.</w:t>
      </w:r>
    </w:p>
    <w:p>
      <w:pPr>
        <w:pStyle w:val="BodyText"/>
      </w:pPr>
      <w:r>
        <w:t xml:space="preserve">That makes the June 30 balance sheet one of the report’s most important disclosures. Investors should look for:</w:t>
      </w:r>
    </w:p>
    <w:p>
      <w:pPr>
        <w:pStyle w:val="Compact"/>
        <w:numPr>
          <w:ilvl w:val="0"/>
          <w:numId w:val="1006"/>
        </w:numPr>
      </w:pPr>
      <w:r>
        <w:t xml:space="preserve">Whether net debt is approaching the $10 billion target</w:t>
      </w:r>
    </w:p>
    <w:p>
      <w:pPr>
        <w:pStyle w:val="Compact"/>
        <w:numPr>
          <w:ilvl w:val="0"/>
          <w:numId w:val="1006"/>
        </w:numPr>
      </w:pPr>
      <w:r>
        <w:t xml:space="preserve">Any additional bond repurchases or retirement plans</w:t>
      </w:r>
    </w:p>
    <w:p>
      <w:pPr>
        <w:pStyle w:val="Compact"/>
        <w:numPr>
          <w:ilvl w:val="0"/>
          <w:numId w:val="1006"/>
        </w:numPr>
      </w:pPr>
      <w:r>
        <w:t xml:space="preserve">The amount of cash accumulated rather than distributed</w:t>
      </w:r>
    </w:p>
    <w:p>
      <w:pPr>
        <w:pStyle w:val="Compact"/>
        <w:numPr>
          <w:ilvl w:val="0"/>
          <w:numId w:val="1006"/>
        </w:numPr>
      </w:pPr>
      <w:r>
        <w:t xml:space="preserve">Whether management now sees buybacks as more attractive following commodity and share-price volatility</w:t>
      </w:r>
    </w:p>
    <w:p>
      <w:pPr>
        <w:pStyle w:val="FirstParagraph"/>
      </w:pPr>
      <w:r>
        <w:t xml:space="preserve">The June credit amendment is supportive rather than transformative: Diamondback increased its revolving commitments from</w:t>
      </w:r>
      <w:r>
        <w:t xml:space="preserve"> </w:t>
      </w:r>
      <w:r>
        <w:rPr>
          <w:b/>
          <w:bCs/>
        </w:rPr>
        <w:t xml:space="preserve">$2.5 billion to $3.0 billion</w:t>
      </w:r>
      <w:r>
        <w:t xml:space="preserve"> </w:t>
      </w:r>
      <w:r>
        <w:t xml:space="preserve">and extended maturity from June 2030 to June 2031. (</w:t>
      </w:r>
      <w:hyperlink r:id="rId18">
        <w:r>
          <w:rPr>
            <w:rStyle w:val="Hyperlink"/>
          </w:rPr>
          <w:t xml:space="preserve">ir.diamondbackenergy.com</w:t>
        </w:r>
      </w:hyperlink>
      <w:r>
        <w:t xml:space="preserve">)</w:t>
      </w:r>
    </w:p>
    <w:bookmarkEnd w:id="19"/>
    <w:bookmarkStart w:id="21" w:name="Xbe6a61811984b3ef3b741959c89cbc7260a6a6d"/>
    <w:p>
      <w:pPr>
        <w:pStyle w:val="Heading3"/>
      </w:pPr>
      <w:r>
        <w:t xml:space="preserve">4. Is the higher activity level still justified?</w:t>
      </w:r>
    </w:p>
    <w:p>
      <w:pPr>
        <w:pStyle w:val="FirstParagraph"/>
      </w:pPr>
      <w:r>
        <w:t xml:space="preserve">Last quarter Diamondback moved to a more constructive operating posture, adding two to three rigs and retaining a fifth completion crew. The company planned to draw down drilled-but-uncompleted wells during Q2 and then rebuild the inventory later in the year. Management argued that the plan would increase free cash flow per share at oil prices above approximately $60 while preserving operating efficiency.</w:t>
      </w:r>
    </w:p>
    <w:p>
      <w:pPr>
        <w:pStyle w:val="BodyText"/>
      </w:pPr>
      <w:r>
        <w:t xml:space="preserve">The macro backdrop has since become much less straightforward. Oil remained elevated through much of Q2 and July, but U.S. crude fell to roughly</w:t>
      </w:r>
      <w:r>
        <w:t xml:space="preserve"> </w:t>
      </w:r>
      <w:r>
        <w:rPr>
          <w:b/>
          <w:bCs/>
        </w:rPr>
        <w:t xml:space="preserve">$81 per barrel on August 2–3</w:t>
      </w:r>
      <w:r>
        <w:t xml:space="preserve"> </w:t>
      </w:r>
      <w:r>
        <w:t xml:space="preserve">after the latest de-escalation signals involving Iran. (</w:t>
      </w:r>
      <w:hyperlink r:id="rId20">
        <w:r>
          <w:rPr>
            <w:rStyle w:val="Hyperlink"/>
          </w:rPr>
          <w:t xml:space="preserve">apnews.com</w:t>
        </w:r>
      </w:hyperlink>
      <w:r>
        <w:t xml:space="preserve">)</w:t>
      </w:r>
    </w:p>
    <w:p>
      <w:pPr>
        <w:pStyle w:val="BodyText"/>
      </w:pPr>
      <w:r>
        <w:t xml:space="preserve">Management therefore has to balance two messages:</w:t>
      </w:r>
    </w:p>
    <w:p>
      <w:pPr>
        <w:pStyle w:val="Compact"/>
        <w:numPr>
          <w:ilvl w:val="0"/>
          <w:numId w:val="1007"/>
        </w:numPr>
      </w:pPr>
      <w:r>
        <w:t xml:space="preserve">The Q2 acceleration was financially successful.</w:t>
      </w:r>
    </w:p>
    <w:p>
      <w:pPr>
        <w:pStyle w:val="Compact"/>
        <w:numPr>
          <w:ilvl w:val="0"/>
          <w:numId w:val="1007"/>
        </w:numPr>
      </w:pPr>
      <w:r>
        <w:t xml:space="preserve">Diamondback will not chase production if the geopolitical premium disappears.</w:t>
      </w:r>
    </w:p>
    <w:p>
      <w:pPr>
        <w:pStyle w:val="FirstParagraph"/>
      </w:pPr>
      <w:r>
        <w:t xml:space="preserve">A disciplined response would likely be to</w:t>
      </w:r>
      <w:r>
        <w:t xml:space="preserve"> </w:t>
      </w:r>
      <w:r>
        <w:rPr>
          <w:b/>
          <w:bCs/>
        </w:rPr>
        <w:t xml:space="preserve">maintain the current program and preserve flexibility</w:t>
      </w:r>
      <w:r>
        <w:t xml:space="preserve">, rather than announcing another material capex increase.</w:t>
      </w:r>
    </w:p>
    <w:bookmarkEnd w:id="21"/>
    <w:bookmarkStart w:id="22" w:name="Xaa84beec742a92a83dea85d654ab6a8a65a1865"/>
    <w:p>
      <w:pPr>
        <w:pStyle w:val="Heading3"/>
      </w:pPr>
      <w:r>
        <w:t xml:space="preserve">5. Cost control and Barnett execution</w:t>
      </w:r>
    </w:p>
    <w:p>
      <w:pPr>
        <w:pStyle w:val="FirstParagraph"/>
      </w:pPr>
      <w:r>
        <w:t xml:space="preserve">The operating update should provide evidence on whether increased activity is producing inflation or execution strain. Key figures include:</w:t>
      </w:r>
    </w:p>
    <w:p>
      <w:pPr>
        <w:pStyle w:val="Compact"/>
        <w:numPr>
          <w:ilvl w:val="0"/>
          <w:numId w:val="1008"/>
        </w:numPr>
      </w:pPr>
      <w:r>
        <w:t xml:space="preserve">Lease operating expense versus the</w:t>
      </w:r>
      <w:r>
        <w:t xml:space="preserve"> </w:t>
      </w:r>
      <m:oMath>
        <m:r>
          <m:t>5.90</m:t>
        </m:r>
        <m:r>
          <m:rPr>
            <m:sty m:val="p"/>
          </m:rPr>
          <m:t>–</m:t>
        </m:r>
      </m:oMath>
      <w:r>
        <w:t xml:space="preserve">6.40/boe full-year guide</w:t>
      </w:r>
    </w:p>
    <w:p>
      <w:pPr>
        <w:pStyle w:val="Compact"/>
        <w:numPr>
          <w:ilvl w:val="0"/>
          <w:numId w:val="1008"/>
        </w:numPr>
      </w:pPr>
      <w:r>
        <w:t xml:space="preserve">Cash G&amp;A</w:t>
      </w:r>
    </w:p>
    <w:p>
      <w:pPr>
        <w:pStyle w:val="Compact"/>
        <w:numPr>
          <w:ilvl w:val="0"/>
          <w:numId w:val="1008"/>
        </w:numPr>
      </w:pPr>
      <w:r>
        <w:t xml:space="preserve">Drilling and completion cost per lateral foot</w:t>
      </w:r>
    </w:p>
    <w:p>
      <w:pPr>
        <w:pStyle w:val="Compact"/>
        <w:numPr>
          <w:ilvl w:val="0"/>
          <w:numId w:val="1008"/>
        </w:numPr>
      </w:pPr>
      <w:r>
        <w:t xml:space="preserve">Completed lateral footage</w:t>
      </w:r>
    </w:p>
    <w:p>
      <w:pPr>
        <w:pStyle w:val="Compact"/>
        <w:numPr>
          <w:ilvl w:val="0"/>
          <w:numId w:val="1008"/>
        </w:numPr>
      </w:pPr>
      <w:r>
        <w:t xml:space="preserve">DUC inventory</w:t>
      </w:r>
    </w:p>
    <w:p>
      <w:pPr>
        <w:pStyle w:val="Compact"/>
        <w:numPr>
          <w:ilvl w:val="0"/>
          <w:numId w:val="1008"/>
        </w:numPr>
      </w:pPr>
      <w:r>
        <w:t xml:space="preserve">Service-cost inflation</w:t>
      </w:r>
    </w:p>
    <w:p>
      <w:pPr>
        <w:pStyle w:val="Compact"/>
        <w:numPr>
          <w:ilvl w:val="0"/>
          <w:numId w:val="1008"/>
        </w:numPr>
      </w:pPr>
      <w:r>
        <w:t xml:space="preserve">Performance of the emerging Barnett development program</w:t>
      </w:r>
    </w:p>
    <w:p>
      <w:pPr>
        <w:pStyle w:val="FirstParagraph"/>
      </w:pPr>
      <w:r>
        <w:t xml:space="preserve">Diamondback’s appeal rests heavily on combining unusually deep Midland Basin inventory with a low cost structure. Rising production alone will not be enough if well costs, workovers or service pricing begin eroding capital efficiency.</w:t>
      </w:r>
    </w:p>
    <w:bookmarkEnd w:id="22"/>
    <w:bookmarkStart w:id="23" w:name="Xa1229750ed15a5436ad31a9b39b99eed0b49291"/>
    <w:p>
      <w:pPr>
        <w:pStyle w:val="Heading3"/>
      </w:pPr>
      <w:r>
        <w:t xml:space="preserve">6. Negative gas prices remain a structural issue</w:t>
      </w:r>
    </w:p>
    <w:p>
      <w:pPr>
        <w:pStyle w:val="FirstParagraph"/>
      </w:pPr>
      <w:r>
        <w:t xml:space="preserve">The</w:t>
      </w:r>
      <w:r>
        <w:t xml:space="preserve"> </w:t>
      </w:r>
      <w:r>
        <w:rPr>
          <w:b/>
          <w:bCs/>
        </w:rPr>
        <w:t xml:space="preserve">$(2.15)/Mcf unhedged gas realization</w:t>
      </w:r>
      <w:r>
        <w:t xml:space="preserve"> </w:t>
      </w:r>
      <w:r>
        <w:t xml:space="preserve">is an extreme reminder that associated gas can be a liability in the Permian. Hedges improved that figure to $(0.34)/Mcf, but the underlying physical market remains problematic. (</w:t>
      </w:r>
      <w:hyperlink r:id="rId12">
        <w:r>
          <w:rPr>
            <w:rStyle w:val="Hyperlink"/>
          </w:rPr>
          <w:t xml:space="preserve">diamondbackenergy.com</w:t>
        </w:r>
      </w:hyperlink>
      <w:r>
        <w:t xml:space="preserve">)</w:t>
      </w:r>
    </w:p>
    <w:p>
      <w:pPr>
        <w:pStyle w:val="BodyText"/>
      </w:pPr>
      <w:r>
        <w:t xml:space="preserve">Questions for management include:</w:t>
      </w:r>
    </w:p>
    <w:p>
      <w:pPr>
        <w:pStyle w:val="Compact"/>
        <w:numPr>
          <w:ilvl w:val="0"/>
          <w:numId w:val="1009"/>
        </w:numPr>
      </w:pPr>
      <w:r>
        <w:t xml:space="preserve">How much production was curtailed for economic reasons?</w:t>
      </w:r>
    </w:p>
    <w:p>
      <w:pPr>
        <w:pStyle w:val="Compact"/>
        <w:numPr>
          <w:ilvl w:val="0"/>
          <w:numId w:val="1009"/>
        </w:numPr>
      </w:pPr>
      <w:r>
        <w:t xml:space="preserve">When will additional pipeline capacity improve physical realizations?</w:t>
      </w:r>
    </w:p>
    <w:p>
      <w:pPr>
        <w:pStyle w:val="Compact"/>
        <w:numPr>
          <w:ilvl w:val="0"/>
          <w:numId w:val="1009"/>
        </w:numPr>
      </w:pPr>
      <w:r>
        <w:t xml:space="preserve">How much 2027 Waha-basis exposure is protected?</w:t>
      </w:r>
    </w:p>
    <w:p>
      <w:pPr>
        <w:pStyle w:val="Compact"/>
        <w:numPr>
          <w:ilvl w:val="0"/>
          <w:numId w:val="1009"/>
        </w:numPr>
      </w:pPr>
      <w:r>
        <w:t xml:space="preserve">Has the in-basin power or data-center opportunity advanced?</w:t>
      </w:r>
    </w:p>
    <w:p>
      <w:pPr>
        <w:pStyle w:val="Compact"/>
        <w:numPr>
          <w:ilvl w:val="0"/>
          <w:numId w:val="1009"/>
        </w:numPr>
      </w:pPr>
      <w:r>
        <w:t xml:space="preserve">Could weak gas realizations constrain otherwise attractive oil development?</w:t>
      </w:r>
    </w:p>
    <w:p>
      <w:pPr>
        <w:pStyle w:val="FirstParagraph"/>
      </w:pPr>
      <w:r>
        <w:t xml:space="preserve">Gas is not the main earnings driver, but persistent negative pricing can reduce the value of incremental barrels and complicate the production outlook.</w:t>
      </w:r>
    </w:p>
    <w:p>
      <w:r>
        <w:pict>
          <v:rect style="width:0;height:1.5pt" o:hralign="center" o:hrstd="t" o:hr="t"/>
        </w:pict>
      </w:r>
    </w:p>
    <w:bookmarkEnd w:id="23"/>
    <w:bookmarkEnd w:id="24"/>
    <w:bookmarkStart w:id="25" w:name="expectations-scoreboard"/>
    <w:p>
      <w:pPr>
        <w:pStyle w:val="Heading2"/>
      </w:pPr>
      <w:r>
        <w:t xml:space="preserve">Expectations scoreboard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Category</w:t>
            </w:r>
          </w:p>
        </w:tc>
        <w:tc>
          <w:tcPr/>
          <w:p>
            <w:pPr>
              <w:pStyle w:val="Compact"/>
            </w:pPr>
            <w:r>
              <w:t xml:space="preserve">Positive</w:t>
            </w:r>
          </w:p>
        </w:tc>
        <w:tc>
          <w:tcPr/>
          <w:p>
            <w:pPr>
              <w:pStyle w:val="Compact"/>
            </w:pPr>
            <w:r>
              <w:t xml:space="preserve">Neutral</w:t>
            </w:r>
          </w:p>
        </w:tc>
        <w:tc>
          <w:tcPr/>
          <w:p>
            <w:pPr>
              <w:pStyle w:val="Compact"/>
            </w:pPr>
            <w:r>
              <w:t xml:space="preserve">Negative</w:t>
            </w:r>
          </w:p>
        </w:tc>
      </w:tr>
      <w:tr>
        <w:tc>
          <w:tcPr/>
          <w:p>
            <w:pPr>
              <w:pStyle w:val="Compact"/>
            </w:pPr>
            <w:r>
              <w:rPr>
                <w:b/>
                <w:bCs/>
              </w:rPr>
              <w:t xml:space="preserve">Oil production</w:t>
            </w:r>
          </w:p>
        </w:tc>
        <w:tc>
          <w:tcPr/>
          <w:p>
            <w:pPr>
              <w:pStyle w:val="Compact"/>
            </w:pPr>
            <w:r>
              <w:t xml:space="preserve">Above 525 Mbo/d</w:t>
            </w:r>
          </w:p>
        </w:tc>
        <w:tc>
          <w:tcPr/>
          <w:p>
            <w:pPr>
              <w:pStyle w:val="Compact"/>
            </w:pPr>
            <w:r>
              <w:t xml:space="preserve">520–525 Mbo/d</w:t>
            </w:r>
          </w:p>
        </w:tc>
        <w:tc>
          <w:tcPr/>
          <w:p>
            <w:pPr>
              <w:pStyle w:val="Compact"/>
            </w:pPr>
            <w:r>
              <w:t xml:space="preserve">Below 515 Mbo/d</w:t>
            </w:r>
          </w:p>
        </w:tc>
      </w:tr>
      <w:tr>
        <w:tc>
          <w:tcPr/>
          <w:p>
            <w:pPr>
              <w:pStyle w:val="Compact"/>
            </w:pPr>
            <w:r>
              <w:rPr>
                <w:b/>
                <w:bCs/>
              </w:rPr>
              <w:t xml:space="preserve">Q2 capex</w:t>
            </w:r>
          </w:p>
        </w:tc>
        <w:tc>
          <w:tcPr/>
          <w:p>
            <w:pPr>
              <w:pStyle w:val="Compact"/>
            </w:pPr>
            <w:r>
              <w:t xml:space="preserve">Below/near $975M with solid volumes</w:t>
            </w:r>
          </w:p>
        </w:tc>
        <w:tc>
          <w:tcPr/>
          <w:p>
            <w:pPr>
              <w:pStyle w:val="Compact"/>
            </w:pPr>
            <w:r>
              <w:t xml:space="preserve">Within guide</w:t>
            </w:r>
          </w:p>
        </w:tc>
        <w:tc>
          <w:tcPr/>
          <w:p>
            <w:pPr>
              <w:pStyle w:val="Compact"/>
            </w:pPr>
            <w:r>
              <w:t xml:space="preserve">Above $1.025B</w:t>
            </w:r>
          </w:p>
        </w:tc>
      </w:tr>
      <w:tr>
        <w:tc>
          <w:tcPr/>
          <w:p>
            <w:pPr>
              <w:pStyle w:val="Compact"/>
            </w:pPr>
            <w:r>
              <w:rPr>
                <w:b/>
                <w:bCs/>
              </w:rPr>
              <w:t xml:space="preserve">Full-year oil guide</w:t>
            </w:r>
          </w:p>
        </w:tc>
        <w:tc>
          <w:tcPr/>
          <w:p>
            <w:pPr>
              <w:pStyle w:val="Compact"/>
            </w:pPr>
            <w:r>
              <w:t xml:space="preserve">Raised above 520+</w:t>
            </w:r>
          </w:p>
        </w:tc>
        <w:tc>
          <w:tcPr/>
          <w:p>
            <w:pPr>
              <w:pStyle w:val="Compact"/>
            </w:pPr>
            <w:r>
              <w:t xml:space="preserve">Maintained with constructive cadence</w:t>
            </w:r>
          </w:p>
        </w:tc>
        <w:tc>
          <w:tcPr/>
          <w:p>
            <w:pPr>
              <w:pStyle w:val="Compact"/>
            </w:pPr>
            <w:r>
              <w:t xml:space="preserve">Lowered or heavily qualified</w:t>
            </w:r>
          </w:p>
        </w:tc>
      </w:tr>
      <w:tr>
        <w:tc>
          <w:tcPr/>
          <w:p>
            <w:pPr>
              <w:pStyle w:val="Compact"/>
            </w:pPr>
            <w:r>
              <w:rPr>
                <w:b/>
                <w:bCs/>
              </w:rPr>
              <w:t xml:space="preserve">Adjusted FCF</w:t>
            </w:r>
          </w:p>
        </w:tc>
        <w:tc>
          <w:tcPr/>
          <w:p>
            <w:pPr>
              <w:pStyle w:val="Compact"/>
            </w:pPr>
            <w:r>
              <w:t xml:space="preserve">Clear step-up from Q1</w:t>
            </w:r>
          </w:p>
        </w:tc>
        <w:tc>
          <w:tcPr/>
          <w:p>
            <w:pPr>
              <w:pStyle w:val="Compact"/>
            </w:pPr>
            <w:r>
              <w:t xml:space="preserve">Higher but affected by taxes</w:t>
            </w:r>
          </w:p>
        </w:tc>
        <w:tc>
          <w:tcPr/>
          <w:p>
            <w:pPr>
              <w:pStyle w:val="Compact"/>
            </w:pPr>
            <w:r>
              <w:t xml:space="preserve">Weak cash conversion</w:t>
            </w:r>
          </w:p>
        </w:tc>
      </w:tr>
      <w:tr>
        <w:tc>
          <w:tcPr/>
          <w:p>
            <w:pPr>
              <w:pStyle w:val="Compact"/>
            </w:pPr>
            <w:r>
              <w:rPr>
                <w:b/>
                <w:bCs/>
              </w:rPr>
              <w:t xml:space="preserve">Net debt</w:t>
            </w:r>
          </w:p>
        </w:tc>
        <w:tc>
          <w:tcPr/>
          <w:p>
            <w:pPr>
              <w:pStyle w:val="Compact"/>
            </w:pPr>
            <w:r>
              <w:t xml:space="preserve">Near or below stated target trajectory</w:t>
            </w:r>
          </w:p>
        </w:tc>
        <w:tc>
          <w:tcPr/>
          <w:p>
            <w:pPr>
              <w:pStyle w:val="Compact"/>
            </w:pPr>
            <w:r>
              <w:t xml:space="preserve">Meaningful reduction</w:t>
            </w:r>
          </w:p>
        </w:tc>
        <w:tc>
          <w:tcPr/>
          <w:p>
            <w:pPr>
              <w:pStyle w:val="Compact"/>
            </w:pPr>
            <w:r>
              <w:t xml:space="preserve">Limited progress despite strong prices</w:t>
            </w:r>
          </w:p>
        </w:tc>
      </w:tr>
      <w:tr>
        <w:tc>
          <w:tcPr/>
          <w:p>
            <w:pPr>
              <w:pStyle w:val="Compact"/>
            </w:pPr>
            <w:r>
              <w:rPr>
                <w:b/>
                <w:bCs/>
              </w:rPr>
              <w:t xml:space="preserve">Capital returns</w:t>
            </w:r>
          </w:p>
        </w:tc>
        <w:tc>
          <w:tcPr/>
          <w:p>
            <w:pPr>
              <w:pStyle w:val="Compact"/>
            </w:pPr>
            <w:r>
              <w:t xml:space="preserve">Opportunistic buybacks plus debt reduction</w:t>
            </w:r>
          </w:p>
        </w:tc>
        <w:tc>
          <w:tcPr/>
          <w:p>
            <w:pPr>
              <w:pStyle w:val="Compact"/>
            </w:pPr>
            <w:r>
              <w:t xml:space="preserve">Dividend and debt focus</w:t>
            </w:r>
          </w:p>
        </w:tc>
        <w:tc>
          <w:tcPr/>
          <w:p>
            <w:pPr>
              <w:pStyle w:val="Compact"/>
            </w:pPr>
            <w:r>
              <w:t xml:space="preserve">High spending or unclear priorities</w:t>
            </w:r>
          </w:p>
        </w:tc>
      </w:tr>
      <w:tr>
        <w:tc>
          <w:tcPr/>
          <w:p>
            <w:pPr>
              <w:pStyle w:val="Compact"/>
            </w:pPr>
            <w:r>
              <w:rPr>
                <w:b/>
                <w:bCs/>
              </w:rPr>
              <w:t xml:space="preserve">Unit costs</w:t>
            </w:r>
          </w:p>
        </w:tc>
        <w:tc>
          <w:tcPr/>
          <w:p>
            <w:pPr>
              <w:pStyle w:val="Compact"/>
            </w:pPr>
            <w:r>
              <w:t xml:space="preserve">Stable/improving</w:t>
            </w:r>
          </w:p>
        </w:tc>
        <w:tc>
          <w:tcPr/>
          <w:p>
            <w:pPr>
              <w:pStyle w:val="Compact"/>
            </w:pPr>
            <w:r>
              <w:t xml:space="preserve">Within guidance</w:t>
            </w:r>
          </w:p>
        </w:tc>
        <w:tc>
          <w:tcPr/>
          <w:p>
            <w:pPr>
              <w:pStyle w:val="Compact"/>
            </w:pPr>
            <w:r>
              <w:t xml:space="preserve">Inflation or downtime</w:t>
            </w:r>
          </w:p>
        </w:tc>
      </w:tr>
      <w:tr>
        <w:tc>
          <w:tcPr/>
          <w:p>
            <w:pPr>
              <w:pStyle w:val="Compact"/>
            </w:pPr>
            <w:r>
              <w:rPr>
                <w:b/>
                <w:bCs/>
              </w:rPr>
              <w:t xml:space="preserve">2027 commentary</w:t>
            </w:r>
          </w:p>
        </w:tc>
        <w:tc>
          <w:tcPr/>
          <w:p>
            <w:pPr>
              <w:pStyle w:val="Compact"/>
            </w:pPr>
            <w:r>
              <w:t xml:space="preserve">Flexible, return-driven growth</w:t>
            </w:r>
          </w:p>
        </w:tc>
        <w:tc>
          <w:tcPr/>
          <w:p>
            <w:pPr>
              <w:pStyle w:val="Compact"/>
            </w:pPr>
            <w:r>
              <w:t xml:space="preserve">Current pace maintained</w:t>
            </w:r>
          </w:p>
        </w:tc>
        <w:tc>
          <w:tcPr/>
          <w:p>
            <w:pPr>
              <w:pStyle w:val="Compact"/>
            </w:pPr>
            <w:r>
              <w:t xml:space="preserve">Further acceleration despite weaker oil</w:t>
            </w:r>
          </w:p>
        </w:tc>
      </w:tr>
    </w:tbl>
    <w:p>
      <w:r>
        <w:pict>
          <v:rect style="width:0;height:1.5pt" o:hralign="center" o:hrstd="t" o:hr="t"/>
        </w:pict>
      </w:r>
    </w:p>
    <w:bookmarkEnd w:id="25"/>
    <w:bookmarkStart w:id="29" w:name="likely-stock-reaction-framework"/>
    <w:p>
      <w:pPr>
        <w:pStyle w:val="Heading2"/>
      </w:pPr>
      <w:r>
        <w:t xml:space="preserve">Likely stock-reaction framework</w:t>
      </w:r>
    </w:p>
    <w:bookmarkStart w:id="26" w:name="bull-case"/>
    <w:p>
      <w:pPr>
        <w:pStyle w:val="Heading3"/>
      </w:pPr>
      <w:r>
        <w:t xml:space="preserve">Bull case</w:t>
      </w:r>
    </w:p>
    <w:p>
      <w:pPr>
        <w:pStyle w:val="Compact"/>
        <w:numPr>
          <w:ilvl w:val="0"/>
          <w:numId w:val="1010"/>
        </w:numPr>
      </w:pPr>
      <w:r>
        <w:t xml:space="preserve">Production exceeds the high end</w:t>
      </w:r>
    </w:p>
    <w:p>
      <w:pPr>
        <w:pStyle w:val="Compact"/>
        <w:numPr>
          <w:ilvl w:val="0"/>
          <w:numId w:val="1010"/>
        </w:numPr>
      </w:pPr>
      <w:r>
        <w:t xml:space="preserve">Capex remains controlled</w:t>
      </w:r>
    </w:p>
    <w:p>
      <w:pPr>
        <w:pStyle w:val="Compact"/>
        <w:numPr>
          <w:ilvl w:val="0"/>
          <w:numId w:val="1010"/>
        </w:numPr>
      </w:pPr>
      <w:r>
        <w:t xml:space="preserve">Adjusted free cash flow materially exceeds Q1</w:t>
      </w:r>
    </w:p>
    <w:p>
      <w:pPr>
        <w:pStyle w:val="Compact"/>
        <w:numPr>
          <w:ilvl w:val="0"/>
          <w:numId w:val="1010"/>
        </w:numPr>
      </w:pPr>
      <w:r>
        <w:t xml:space="preserve">Net debt falls faster than expected</w:t>
      </w:r>
    </w:p>
    <w:p>
      <w:pPr>
        <w:pStyle w:val="Compact"/>
        <w:numPr>
          <w:ilvl w:val="0"/>
          <w:numId w:val="1010"/>
        </w:numPr>
      </w:pPr>
      <w:r>
        <w:t xml:space="preserve">Full-year production guidance rises without another large capital increase</w:t>
      </w:r>
    </w:p>
    <w:p>
      <w:pPr>
        <w:pStyle w:val="Compact"/>
        <w:numPr>
          <w:ilvl w:val="0"/>
          <w:numId w:val="1010"/>
        </w:numPr>
      </w:pPr>
      <w:r>
        <w:t xml:space="preserve">Management signals buybacks can resume opportunistically</w:t>
      </w:r>
    </w:p>
    <w:bookmarkEnd w:id="26"/>
    <w:bookmarkStart w:id="27" w:name="base-case"/>
    <w:p>
      <w:pPr>
        <w:pStyle w:val="Heading3"/>
      </w:pPr>
      <w:r>
        <w:t xml:space="preserve">Base case</w:t>
      </w:r>
    </w:p>
    <w:p>
      <w:pPr>
        <w:pStyle w:val="Compact"/>
        <w:numPr>
          <w:ilvl w:val="0"/>
          <w:numId w:val="1011"/>
        </w:numPr>
      </w:pPr>
      <w:r>
        <w:t xml:space="preserve">Adjusted EPS is near the $6.10 consensus</w:t>
      </w:r>
    </w:p>
    <w:p>
      <w:pPr>
        <w:pStyle w:val="Compact"/>
        <w:numPr>
          <w:ilvl w:val="0"/>
          <w:numId w:val="1011"/>
        </w:numPr>
      </w:pPr>
      <w:r>
        <w:t xml:space="preserve">Production and capex are within guidance</w:t>
      </w:r>
    </w:p>
    <w:p>
      <w:pPr>
        <w:pStyle w:val="Compact"/>
        <w:numPr>
          <w:ilvl w:val="0"/>
          <w:numId w:val="1011"/>
        </w:numPr>
      </w:pPr>
      <w:r>
        <w:t xml:space="preserve">Full-year guidance is maintained</w:t>
      </w:r>
    </w:p>
    <w:p>
      <w:pPr>
        <w:pStyle w:val="Compact"/>
        <w:numPr>
          <w:ilvl w:val="0"/>
          <w:numId w:val="1011"/>
        </w:numPr>
      </w:pPr>
      <w:r>
        <w:t xml:space="preserve">Most excess cash goes to debt</w:t>
      </w:r>
    </w:p>
    <w:p>
      <w:pPr>
        <w:pStyle w:val="Compact"/>
        <w:numPr>
          <w:ilvl w:val="0"/>
          <w:numId w:val="1011"/>
        </w:numPr>
      </w:pPr>
      <w:r>
        <w:t xml:space="preserve">Management takes a cautious, quarter-by-quarter approach to further growth</w:t>
      </w:r>
    </w:p>
    <w:p>
      <w:pPr>
        <w:pStyle w:val="FirstParagraph"/>
      </w:pPr>
      <w:r>
        <w:t xml:space="preserve">This would be a solid report, though potentially not enough for a major rerating because the favorable Q2 oil realization is already known.</w:t>
      </w:r>
    </w:p>
    <w:bookmarkEnd w:id="27"/>
    <w:bookmarkStart w:id="28" w:name="bear-case"/>
    <w:p>
      <w:pPr>
        <w:pStyle w:val="Heading3"/>
      </w:pPr>
      <w:r>
        <w:t xml:space="preserve">Bear case</w:t>
      </w:r>
    </w:p>
    <w:p>
      <w:pPr>
        <w:pStyle w:val="Compact"/>
        <w:numPr>
          <w:ilvl w:val="0"/>
          <w:numId w:val="1012"/>
        </w:numPr>
      </w:pPr>
      <w:r>
        <w:t xml:space="preserve">Production lands near or below the low end</w:t>
      </w:r>
    </w:p>
    <w:p>
      <w:pPr>
        <w:pStyle w:val="Compact"/>
        <w:numPr>
          <w:ilvl w:val="0"/>
          <w:numId w:val="1012"/>
        </w:numPr>
      </w:pPr>
      <w:r>
        <w:t xml:space="preserve">Capex exceeds guidance</w:t>
      </w:r>
    </w:p>
    <w:p>
      <w:pPr>
        <w:pStyle w:val="Compact"/>
        <w:numPr>
          <w:ilvl w:val="0"/>
          <w:numId w:val="1012"/>
        </w:numPr>
      </w:pPr>
      <w:r>
        <w:t xml:space="preserve">Unit costs rise</w:t>
      </w:r>
    </w:p>
    <w:p>
      <w:pPr>
        <w:pStyle w:val="Compact"/>
        <w:numPr>
          <w:ilvl w:val="0"/>
          <w:numId w:val="1012"/>
        </w:numPr>
      </w:pPr>
      <w:r>
        <w:t xml:space="preserve">Cash conversion disappoints despite $96.82-per-barrel oil</w:t>
      </w:r>
    </w:p>
    <w:p>
      <w:pPr>
        <w:pStyle w:val="Compact"/>
        <w:numPr>
          <w:ilvl w:val="0"/>
          <w:numId w:val="1012"/>
        </w:numPr>
      </w:pPr>
      <w:r>
        <w:t xml:space="preserve">Debt reduction is weaker than expected</w:t>
      </w:r>
    </w:p>
    <w:p>
      <w:pPr>
        <w:pStyle w:val="Compact"/>
        <w:numPr>
          <w:ilvl w:val="0"/>
          <w:numId w:val="1012"/>
        </w:numPr>
      </w:pPr>
      <w:r>
        <w:t xml:space="preserve">Management maintains an aggressive growth posture even as oil retreats</w:t>
      </w:r>
    </w:p>
    <w:p>
      <w:r>
        <w:pict>
          <v:rect style="width:0;height:1.5pt" o:hralign="center" o:hrstd="t" o:hr="t"/>
        </w:pict>
      </w:r>
    </w:p>
    <w:bookmarkEnd w:id="28"/>
    <w:bookmarkEnd w:id="29"/>
    <w:bookmarkStart w:id="30" w:name="questions-that-matter-most-on-the-call"/>
    <w:p>
      <w:pPr>
        <w:pStyle w:val="Heading2"/>
      </w:pPr>
      <w:r>
        <w:t xml:space="preserve">Questions that matter most on the call</w:t>
      </w:r>
    </w:p>
    <w:p>
      <w:pPr>
        <w:pStyle w:val="Compact"/>
        <w:numPr>
          <w:ilvl w:val="0"/>
          <w:numId w:val="1013"/>
        </w:numPr>
      </w:pPr>
      <w:r>
        <w:rPr>
          <w:b/>
          <w:bCs/>
        </w:rPr>
        <w:t xml:space="preserve">What is the sustainable oil-production exit rate entering 2027?</w:t>
      </w:r>
    </w:p>
    <w:p>
      <w:pPr>
        <w:pStyle w:val="Compact"/>
        <w:numPr>
          <w:ilvl w:val="0"/>
          <w:numId w:val="1013"/>
        </w:numPr>
      </w:pPr>
      <w:r>
        <w:rPr>
          <w:b/>
          <w:bCs/>
        </w:rPr>
        <w:t xml:space="preserve">How much of Q2’s production strength came from DUC drawdown versus durable well-performance improvements?</w:t>
      </w:r>
    </w:p>
    <w:p>
      <w:pPr>
        <w:pStyle w:val="Compact"/>
        <w:numPr>
          <w:ilvl w:val="0"/>
          <w:numId w:val="1013"/>
        </w:numPr>
      </w:pPr>
      <w:r>
        <w:rPr>
          <w:b/>
          <w:bCs/>
        </w:rPr>
        <w:t xml:space="preserve">At what oil price would Diamondback remove rigs or the fifth completion crew?</w:t>
      </w:r>
    </w:p>
    <w:p>
      <w:pPr>
        <w:pStyle w:val="Compact"/>
        <w:numPr>
          <w:ilvl w:val="0"/>
          <w:numId w:val="1013"/>
        </w:numPr>
      </w:pPr>
      <w:r>
        <w:rPr>
          <w:b/>
          <w:bCs/>
        </w:rPr>
        <w:t xml:space="preserve">What are the new net- and gross-debt objectives after Q2 cash generation?</w:t>
      </w:r>
    </w:p>
    <w:p>
      <w:pPr>
        <w:pStyle w:val="Compact"/>
        <w:numPr>
          <w:ilvl w:val="0"/>
          <w:numId w:val="1013"/>
        </w:numPr>
      </w:pPr>
      <w:r>
        <w:rPr>
          <w:b/>
          <w:bCs/>
        </w:rPr>
        <w:t xml:space="preserve">When do buybacks become preferable to additional debt reduction?</w:t>
      </w:r>
    </w:p>
    <w:p>
      <w:pPr>
        <w:pStyle w:val="Compact"/>
        <w:numPr>
          <w:ilvl w:val="0"/>
          <w:numId w:val="1013"/>
        </w:numPr>
      </w:pPr>
      <w:r>
        <w:rPr>
          <w:b/>
          <w:bCs/>
        </w:rPr>
        <w:t xml:space="preserve">Has service-cost inflation emerged since the Q1 activity increase?</w:t>
      </w:r>
    </w:p>
    <w:p>
      <w:pPr>
        <w:pStyle w:val="Compact"/>
        <w:numPr>
          <w:ilvl w:val="0"/>
          <w:numId w:val="1013"/>
        </w:numPr>
      </w:pPr>
      <w:r>
        <w:rPr>
          <w:b/>
          <w:bCs/>
        </w:rPr>
        <w:t xml:space="preserve">How much associated-gas production was curtailed because of negative Waha prices?</w:t>
      </w:r>
    </w:p>
    <w:p>
      <w:pPr>
        <w:pStyle w:val="Compact"/>
        <w:numPr>
          <w:ilvl w:val="0"/>
          <w:numId w:val="1013"/>
        </w:numPr>
      </w:pPr>
      <w:r>
        <w:rPr>
          <w:b/>
          <w:bCs/>
        </w:rPr>
        <w:t xml:space="preserve">What is the expected timing and economics of the proposed in-basin power project?</w:t>
      </w:r>
    </w:p>
    <w:p>
      <w:pPr>
        <w:pStyle w:val="Compact"/>
        <w:numPr>
          <w:ilvl w:val="0"/>
          <w:numId w:val="1013"/>
        </w:numPr>
      </w:pPr>
      <w:r>
        <w:rPr>
          <w:b/>
          <w:bCs/>
        </w:rPr>
        <w:t xml:space="preserve">Are the stronger completion results persisting across enough wells to change long-term inventory economics?</w:t>
      </w:r>
    </w:p>
    <w:p>
      <w:pPr>
        <w:pStyle w:val="Compact"/>
        <w:numPr>
          <w:ilvl w:val="0"/>
          <w:numId w:val="1013"/>
        </w:numPr>
      </w:pPr>
      <w:r>
        <w:rPr>
          <w:b/>
          <w:bCs/>
        </w:rPr>
        <w:t xml:space="preserve">Should investors interpret “520+ Mbo/d” as a floor, or merely as current-year guidance under an unusually volatile macro backdrop?</w:t>
      </w:r>
    </w:p>
    <w:bookmarkEnd w:id="30"/>
    <w:bookmarkStart w:id="31" w:name="bottom-line"/>
    <w:p>
      <w:pPr>
        <w:pStyle w:val="Heading2"/>
      </w:pPr>
      <w:r>
        <w:t xml:space="preserve">Bottom line</w:t>
      </w:r>
    </w:p>
    <w:p>
      <w:pPr>
        <w:pStyle w:val="FirstParagraph"/>
      </w:pPr>
      <w:r>
        <w:t xml:space="preserve">The numerical setup is favorable: Diamondback realized almost</w:t>
      </w:r>
      <w:r>
        <w:t xml:space="preserve"> </w:t>
      </w:r>
      <w:r>
        <w:rPr>
          <w:b/>
          <w:bCs/>
        </w:rPr>
        <w:t xml:space="preserve">$97 per barrel of oil</w:t>
      </w:r>
      <w:r>
        <w:t xml:space="preserve">, maintained substantial production, and entered the quarter prioritizing debt reduction. A large year-over-year earnings increase should not be surprising.</w:t>
      </w:r>
    </w:p>
    <w:p>
      <w:pPr>
        <w:pStyle w:val="BodyText"/>
      </w:pPr>
      <w:r>
        <w:t xml:space="preserve">The more consequential test is whether Diamondback demonstrates that it can turn an exceptional commodity quarter into</w:t>
      </w:r>
      <w:r>
        <w:t xml:space="preserve"> </w:t>
      </w:r>
      <w:r>
        <w:rPr>
          <w:b/>
          <w:bCs/>
        </w:rPr>
        <w:t xml:space="preserve">durable per-share value</w:t>
      </w:r>
      <w:r>
        <w:t xml:space="preserve">. The best report would combine a production beat, disciplined capex, strong free cash flow, rapid deleveraging and restraint around additional growth. In contrast, an earnings beat accompanied by higher spending and an aggressive 2027 posture would likely be viewed skeptically—particularly with oil falling sharply immediately before the release.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apnews.com/article/194ab3d3130bb44de445cf3d05954beb?utm_source=openai" TargetMode="External" /><Relationship Type="http://schemas.openxmlformats.org/officeDocument/2006/relationships/hyperlink" Id="rId14" Target="https://ir.diamondbackenergy.com/node/17676?utm_source=openai" TargetMode="External" /><Relationship Type="http://schemas.openxmlformats.org/officeDocument/2006/relationships/hyperlink" Id="rId16" Target="https://ir.diamondbackenergy.com/node/17681/html?utm_source=openai" TargetMode="External" /><Relationship Type="http://schemas.openxmlformats.org/officeDocument/2006/relationships/hyperlink" Id="rId18" Target="https://ir.diamondbackenergy.com/node/17876/html?utm_source=openai" TargetMode="External" /><Relationship Type="http://schemas.openxmlformats.org/officeDocument/2006/relationships/hyperlink" Id="rId10" Target="https://www.barchart.com/stocks/quotes/FANG/earnings-estimates?utm_source=openai" TargetMode="External" /><Relationship Type="http://schemas.openxmlformats.org/officeDocument/2006/relationships/hyperlink" Id="rId9" Target="https://www.diamondbackenergy.com/news-releases/news-release-details/diamondback-energy-inc-schedules-second-quarter-2026-conference?utm_source=openai" TargetMode="External" /><Relationship Type="http://schemas.openxmlformats.org/officeDocument/2006/relationships/hyperlink" Id="rId12" Target="https://www.diamondbackenergy.com/node/17906/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20" Target="https://apnews.com/article/194ab3d3130bb44de445cf3d05954beb?utm_source=openai" TargetMode="External" /><Relationship Type="http://schemas.openxmlformats.org/officeDocument/2006/relationships/hyperlink" Id="rId14" Target="https://ir.diamondbackenergy.com/node/17676?utm_source=openai" TargetMode="External" /><Relationship Type="http://schemas.openxmlformats.org/officeDocument/2006/relationships/hyperlink" Id="rId16" Target="https://ir.diamondbackenergy.com/node/17681/html?utm_source=openai" TargetMode="External" /><Relationship Type="http://schemas.openxmlformats.org/officeDocument/2006/relationships/hyperlink" Id="rId18" Target="https://ir.diamondbackenergy.com/node/17876/html?utm_source=openai" TargetMode="External" /><Relationship Type="http://schemas.openxmlformats.org/officeDocument/2006/relationships/hyperlink" Id="rId10" Target="https://www.barchart.com/stocks/quotes/FANG/earnings-estimates?utm_source=openai" TargetMode="External" /><Relationship Type="http://schemas.openxmlformats.org/officeDocument/2006/relationships/hyperlink" Id="rId9" Target="https://www.diamondbackenergy.com/news-releases/news-release-details/diamondback-energy-inc-schedules-second-quarter-2026-conference?utm_source=openai" TargetMode="External" /><Relationship Type="http://schemas.openxmlformats.org/officeDocument/2006/relationships/hyperlink" Id="rId12" Target="https://www.diamondbackenergy.com/node/17906/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2026-08-03T00:26:29Z</dcterms:created>
  <dcterms:modified xsi:type="dcterms:W3CDTF">2026-08-03T00:26:29Z</dcterms:modified>
</cp:coreProperties>
</file>

<file path=docProps/custom.xml><?xml version="1.0" encoding="utf-8"?>
<Properties xmlns="http://schemas.openxmlformats.org/officeDocument/2006/custom-properties" xmlns:vt="http://schemas.openxmlformats.org/officeDocument/2006/docPropsVTypes"/>
</file>