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661fe28fbda7a3a8e40a93a231dbe2f9faa8bf"/>
    <w:p>
      <w:pPr>
        <w:pStyle w:val="Heading1"/>
      </w:pPr>
      <w:r>
        <w:t xml:space="preserve">Diamondback Energy (NASDAQ: FANG) — 2Q26 Earnings Preview</w:t>
      </w:r>
    </w:p>
    <w:p>
      <w:pPr>
        <w:pStyle w:val="BlockText"/>
      </w:pPr>
      <w:r>
        <w:rPr>
          <w:b/>
          <w:bCs/>
        </w:rPr>
        <w:t xml:space="preserve">Timing clarification:</w:t>
      </w:r>
      <w:r>
        <w:t xml:space="preserve"> </w:t>
      </w:r>
      <w:r>
        <w:t xml:space="preserve">FANG’s second-quarter 2026 results and conference call are scheduled for</w:t>
      </w:r>
      <w:r>
        <w:t xml:space="preserve"> </w:t>
      </w:r>
      <w:r>
        <w:rPr>
          <w:b/>
          <w:bCs/>
        </w:rPr>
        <w:t xml:space="preserve">Tuesday, August 4, 2026</w:t>
      </w:r>
      <w:r>
        <w:t xml:space="preserve">, not August 3. The company pre-announced select 2Q realized-price and derivatives data on July 13.</w:t>
      </w:r>
    </w:p>
    <w:bookmarkStart w:id="9" w:name="X5a6869f5e9470af7eea33dc13c7ee4ff08d4e7e"/>
    <w:p>
      <w:pPr>
        <w:pStyle w:val="Heading2"/>
      </w:pPr>
      <w:r>
        <w:t xml:space="preserve">Investment view: earnings should confirm a step-up in cash generation; the debate is what FANG does with it</w:t>
      </w:r>
    </w:p>
    <w:p>
      <w:pPr>
        <w:pStyle w:val="FirstParagraph"/>
      </w:pPr>
      <w:r>
        <w:t xml:space="preserve">FANG enters 2Q earnings with an unusually favorable near-term setup: oil realizations rose sharply, production was guided to remain near record levels, and the company had already shifted to a higher-activity “green light” plan in 1Q. The headline financial print should therefore be strong.</w:t>
      </w:r>
    </w:p>
    <w:p>
      <w:pPr>
        <w:pStyle w:val="BodyText"/>
      </w:pPr>
      <w:r>
        <w:t xml:space="preserve">The more consequential issue for investors is</w:t>
      </w:r>
      <w:r>
        <w:t xml:space="preserve"> </w:t>
      </w:r>
      <w:r>
        <w:rPr>
          <w:b/>
          <w:bCs/>
        </w:rPr>
        <w:t xml:space="preserve">capital allocation amid a higher and volatile oil-price environment</w:t>
      </w:r>
      <w:r>
        <w:t xml:space="preserve">:</w:t>
      </w:r>
    </w:p>
    <w:p>
      <w:pPr>
        <w:pStyle w:val="Compact"/>
        <w:numPr>
          <w:ilvl w:val="0"/>
          <w:numId w:val="1001"/>
        </w:numPr>
      </w:pPr>
      <w:r>
        <w:rPr>
          <w:b/>
          <w:bCs/>
        </w:rPr>
        <w:t xml:space="preserve">Does management raise full-year production and/or capital guidance again?</w:t>
      </w:r>
    </w:p>
    <w:p>
      <w:pPr>
        <w:pStyle w:val="Compact"/>
        <w:numPr>
          <w:ilvl w:val="0"/>
          <w:numId w:val="1001"/>
        </w:numPr>
      </w:pPr>
      <w:r>
        <w:rPr>
          <w:b/>
          <w:bCs/>
        </w:rPr>
        <w:t xml:space="preserve">How much incremental cash is directed toward debt reduction versus buybacks?</w:t>
      </w:r>
    </w:p>
    <w:p>
      <w:pPr>
        <w:pStyle w:val="Compact"/>
        <w:numPr>
          <w:ilvl w:val="0"/>
          <w:numId w:val="1001"/>
        </w:numPr>
      </w:pPr>
      <w:r>
        <w:rPr>
          <w:b/>
          <w:bCs/>
        </w:rPr>
        <w:t xml:space="preserve">Can FANG sustain growth without giving up its low-reinvestment, capital-efficient positioning?</w:t>
      </w:r>
    </w:p>
    <w:p>
      <w:pPr>
        <w:pStyle w:val="Compact"/>
        <w:numPr>
          <w:ilvl w:val="0"/>
          <w:numId w:val="1001"/>
        </w:numPr>
      </w:pPr>
      <w:r>
        <w:rPr>
          <w:b/>
          <w:bCs/>
        </w:rPr>
        <w:t xml:space="preserve">Does weak Permian gas pricing—particularly at Waha—create a meaningful drag on cash flow or volumes?</w:t>
      </w:r>
    </w:p>
    <w:p>
      <w:pPr>
        <w:pStyle w:val="FirstParagraph"/>
      </w:pPr>
      <w:r>
        <w:t xml:space="preserve">My base case is for a solid operational and cash-flow report, with investor reaction driven less by reported EPS and more by the credibility of updated 2H26 guidance, debt-paydown progress, and the company’s willingness to preserve capital discipline.</w:t>
      </w:r>
    </w:p>
    <w:p>
      <w:r>
        <w:pict>
          <v:rect style="width:0;height:1.5pt" o:hralign="center" o:hrstd="t" o:hr="t"/>
        </w:pict>
      </w:r>
    </w:p>
    <w:bookmarkEnd w:id="9"/>
    <w:bookmarkStart w:id="12" w:name="what-is-already-known"/>
    <w:p>
      <w:pPr>
        <w:pStyle w:val="Heading2"/>
      </w:pPr>
      <w:r>
        <w:t xml:space="preserve">What is already known</w:t>
      </w:r>
    </w:p>
    <w:bookmarkStart w:id="10" w:name="X62b950cb1eb1cdc504d3a78b251dfed27898a99"/>
    <w:p>
      <w:pPr>
        <w:pStyle w:val="Heading3"/>
      </w:pPr>
      <w:r>
        <w:t xml:space="preserve">1. Oil-price realization is the major earnings tailwind</w:t>
      </w:r>
    </w:p>
    <w:p>
      <w:pPr>
        <w:pStyle w:val="FirstParagraph"/>
      </w:pPr>
      <w:r>
        <w:t xml:space="preserve">FANG pre-announced a</w:t>
      </w:r>
      <w:r>
        <w:t xml:space="preserve"> </w:t>
      </w:r>
      <w:r>
        <w:rPr>
          <w:b/>
          <w:bCs/>
        </w:rPr>
        <w:t xml:space="preserve">2Q26 unhedged oil realization of</w:t>
      </w:r>
      <w:r>
        <w:rPr>
          <w:b/>
          <w:bCs/>
        </w:rPr>
        <w:t xml:space="preserve"> </w:t>
      </w:r>
      <m:oMath>
        <m:r>
          <m:t>96.82</m:t>
        </m:r>
        <m:r>
          <m:rPr>
            <m:sty m:val="p"/>
          </m:rPr>
          <m:t>/</m:t>
        </m:r>
        <m:r>
          <m:t>B</m:t>
        </m:r>
        <m:r>
          <m:t>b</m:t>
        </m:r>
        <m:r>
          <m:t>l</m:t>
        </m:r>
        <m:r>
          <m:rPr>
            <m:sty m:val="p"/>
          </m:rPr>
          <m:t>*</m:t>
        </m:r>
        <m:r>
          <m:rPr>
            <m:sty m:val="p"/>
          </m:rPr>
          <m:t>*</m:t>
        </m:r>
        <m:r>
          <m:rPr>
            <m:sty m:val="p"/>
          </m:rPr>
          <m:t>,</m:t>
        </m:r>
        <m:r>
          <m:t>u</m:t>
        </m:r>
        <m:r>
          <m:t>p</m:t>
        </m:r>
        <m:r>
          <m:t>f</m:t>
        </m:r>
        <m:r>
          <m:t>r</m:t>
        </m:r>
        <m:r>
          <m:t>o</m:t>
        </m:r>
        <m:r>
          <m:t>m</m:t>
        </m:r>
        <m:r>
          <m:rPr>
            <m:sty m:val="p"/>
          </m:rPr>
          <m:t>*</m:t>
        </m:r>
        <m:r>
          <m:rPr>
            <m:sty m:val="p"/>
          </m:rPr>
          <m:t>*</m:t>
        </m:r>
      </m:oMath>
      <w:r>
        <w:rPr>
          <w:b/>
          <w:bCs/>
        </w:rPr>
        <w:t xml:space="preserve">73.47/Bbl in 1Q26</w:t>
      </w:r>
      <w:r>
        <w:t xml:space="preserve">—a roughly</w:t>
      </w:r>
      <w:r>
        <w:t xml:space="preserve"> </w:t>
      </w:r>
      <w:r>
        <w:rPr>
          <w:b/>
          <w:bCs/>
        </w:rPr>
        <w:t xml:space="preserve">32% sequential increase</w:t>
      </w:r>
      <w:r>
        <w:t xml:space="preserve">. Its hedged oil realization was</w:t>
      </w:r>
      <w:r>
        <w:t xml:space="preserve"> </w:t>
      </w:r>
      <w:r>
        <w:rPr>
          <w:b/>
          <w:bCs/>
        </w:rPr>
        <w:t xml:space="preserve">$94.33/Bbl</w:t>
      </w:r>
      <w:r>
        <w:t xml:space="preserve">, indicating that derivatives did not materially prevent the company from participating in the stronger oil market.</w:t>
      </w:r>
    </w:p>
    <w:p>
      <w:pPr>
        <w:pStyle w:val="BodyText"/>
      </w:pPr>
      <w:r>
        <w:t xml:space="preserve">The negative offset is gas: FANG reported an unhedged natural-gas realization of</w:t>
      </w:r>
      <w:r>
        <w:t xml:space="preserve"> </w:t>
      </w:r>
      <w:r>
        <w:rPr>
          <w:b/>
          <w:bCs/>
        </w:rPr>
        <w:t xml:space="preserve">negative $2.15/Mcf</w:t>
      </w:r>
      <w:r>
        <w:t xml:space="preserve"> </w:t>
      </w:r>
      <w:r>
        <w:t xml:space="preserve">in 2Q, although hedging improved this to</w:t>
      </w:r>
      <w:r>
        <w:t xml:space="preserve"> </w:t>
      </w:r>
      <w:r>
        <w:rPr>
          <w:b/>
          <w:bCs/>
        </w:rPr>
        <w:t xml:space="preserve">negative $0.34/Mcf</w:t>
      </w:r>
      <w:r>
        <w:t xml:space="preserve">. NGL realization was $18.56/Bbl.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2Q26 pre-announced</w:t>
            </w:r>
          </w:p>
        </w:tc>
        <w:tc>
          <w:tcPr/>
          <w:p>
            <w:pPr>
              <w:pStyle w:val="Compact"/>
            </w:pPr>
            <w:r>
              <w:t xml:space="preserve">Read-through</w:t>
            </w:r>
          </w:p>
        </w:tc>
      </w:tr>
      <w:tr>
        <w:tc>
          <w:tcPr/>
          <w:p>
            <w:pPr>
              <w:pStyle w:val="Compact"/>
            </w:pPr>
            <w:r>
              <w:t xml:space="preserve">Oil realization</w:t>
            </w:r>
          </w:p>
        </w:tc>
        <w:tc>
          <w:tcPr/>
          <w:p>
            <w:pPr>
              <w:pStyle w:val="Compact"/>
              <w:jc w:val="right"/>
            </w:pPr>
            <w:r>
              <w:t xml:space="preserve">$73.47/Bbl</w:t>
            </w:r>
          </w:p>
        </w:tc>
        <w:tc>
          <w:tcPr/>
          <w:p>
            <w:pPr>
              <w:pStyle w:val="Compact"/>
              <w:jc w:val="right"/>
            </w:pPr>
            <w:r>
              <w:rPr>
                <w:b/>
                <w:bCs/>
              </w:rPr>
              <w:t xml:space="preserve">$96.82/Bbl</w:t>
            </w:r>
          </w:p>
        </w:tc>
        <w:tc>
          <w:tcPr/>
          <w:p>
            <w:pPr>
              <w:pStyle w:val="Compact"/>
            </w:pPr>
            <w:r>
              <w:t xml:space="preserve">Very strong revenue/FCF tailwind</w:t>
            </w:r>
          </w:p>
        </w:tc>
      </w:tr>
      <w:tr>
        <w:tc>
          <w:tcPr/>
          <w:p>
            <w:pPr>
              <w:pStyle w:val="Compact"/>
            </w:pPr>
            <w:r>
              <w:t xml:space="preserve">Hedged oil realization</w:t>
            </w:r>
          </w:p>
        </w:tc>
        <w:tc>
          <w:tcPr/>
          <w:p>
            <w:pPr>
              <w:pStyle w:val="Compact"/>
              <w:jc w:val="right"/>
            </w:pPr>
            <w:r>
              <w:t xml:space="preserve">$72.53/Bbl</w:t>
            </w:r>
          </w:p>
        </w:tc>
        <w:tc>
          <w:tcPr/>
          <w:p>
            <w:pPr>
              <w:pStyle w:val="Compact"/>
              <w:jc w:val="right"/>
            </w:pPr>
            <w:r>
              <w:rPr>
                <w:b/>
                <w:bCs/>
              </w:rPr>
              <w:t xml:space="preserve">$94.33/Bbl</w:t>
            </w:r>
          </w:p>
        </w:tc>
        <w:tc>
          <w:tcPr/>
          <w:p>
            <w:pPr>
              <w:pStyle w:val="Compact"/>
            </w:pPr>
            <w:r>
              <w:t xml:space="preserve">Limited loss of upside to hedges</w:t>
            </w:r>
          </w:p>
        </w:tc>
      </w:tr>
      <w:tr>
        <w:tc>
          <w:tcPr/>
          <w:p>
            <w:pPr>
              <w:pStyle w:val="Compact"/>
            </w:pPr>
            <w:r>
              <w:t xml:space="preserve">Natural gas realization</w:t>
            </w:r>
          </w:p>
        </w:tc>
        <w:tc>
          <w:tcPr/>
          <w:p>
            <w:pPr>
              <w:pStyle w:val="Compact"/>
              <w:jc w:val="right"/>
            </w:pPr>
            <w:r>
              <w:t xml:space="preserve">$0.18/Mcf</w:t>
            </w:r>
          </w:p>
        </w:tc>
        <w:tc>
          <w:tcPr/>
          <w:p>
            <w:pPr>
              <w:pStyle w:val="Compact"/>
              <w:jc w:val="right"/>
            </w:pPr>
            <w:r>
              <w:rPr>
                <w:b/>
                <w:bCs/>
              </w:rPr>
              <w:t xml:space="preserve">($2.15)/Mcf</w:t>
            </w:r>
          </w:p>
        </w:tc>
        <w:tc>
          <w:tcPr/>
          <w:p>
            <w:pPr>
              <w:pStyle w:val="Compact"/>
            </w:pPr>
            <w:r>
              <w:t xml:space="preserve">Significant regional-gas headwind</w:t>
            </w:r>
          </w:p>
        </w:tc>
      </w:tr>
      <w:tr>
        <w:tc>
          <w:tcPr/>
          <w:p>
            <w:pPr>
              <w:pStyle w:val="Compact"/>
            </w:pPr>
            <w:r>
              <w:t xml:space="preserve">Hedged gas realization</w:t>
            </w:r>
          </w:p>
        </w:tc>
        <w:tc>
          <w:tcPr/>
          <w:p>
            <w:pPr>
              <w:pStyle w:val="Compact"/>
              <w:jc w:val="right"/>
            </w:pPr>
            <w:r>
              <w:t xml:space="preserve">$1.90/Mcf</w:t>
            </w:r>
          </w:p>
        </w:tc>
        <w:tc>
          <w:tcPr/>
          <w:p>
            <w:pPr>
              <w:pStyle w:val="Compact"/>
              <w:jc w:val="right"/>
            </w:pPr>
            <w:r>
              <w:rPr>
                <w:b/>
                <w:bCs/>
              </w:rPr>
              <w:t xml:space="preserve">($0.34)/Mcf</w:t>
            </w:r>
          </w:p>
        </w:tc>
        <w:tc>
          <w:tcPr/>
          <w:p>
            <w:pPr>
              <w:pStyle w:val="Compact"/>
            </w:pPr>
            <w:r>
              <w:t xml:space="preserve">Hedges soften, but do not eliminate, the pain</w:t>
            </w:r>
          </w:p>
        </w:tc>
      </w:tr>
      <w:tr>
        <w:tc>
          <w:tcPr/>
          <w:p>
            <w:pPr>
              <w:pStyle w:val="Compact"/>
            </w:pPr>
            <w:r>
              <w:t xml:space="preserve">Net cash derivative settlements</w:t>
            </w:r>
          </w:p>
        </w:tc>
        <w:tc>
          <w:tcPr/>
          <w:p>
            <w:pPr>
              <w:pStyle w:val="Compact"/>
              <w:jc w:val="right"/>
            </w:pPr>
            <w:r>
              <w:t xml:space="preserve">$133M</w:t>
            </w:r>
          </w:p>
        </w:tc>
        <w:tc>
          <w:tcPr/>
          <w:p>
            <w:pPr>
              <w:pStyle w:val="Compact"/>
              <w:jc w:val="right"/>
            </w:pPr>
            <w:r>
              <w:rPr>
                <w:b/>
                <w:bCs/>
              </w:rPr>
              <w:t xml:space="preserve">$113M expected</w:t>
            </w:r>
          </w:p>
        </w:tc>
        <w:tc>
          <w:tcPr/>
          <w:p>
            <w:pPr>
              <w:pStyle w:val="Compact"/>
            </w:pPr>
            <w:r>
              <w:t xml:space="preserve">Additional cash-flow support</w:t>
            </w:r>
          </w:p>
        </w:tc>
      </w:tr>
      <w:tr>
        <w:tc>
          <w:tcPr/>
          <w:p>
            <w:pPr>
              <w:pStyle w:val="Compact"/>
            </w:pPr>
            <w:r>
              <w:t xml:space="preserve">Non-cash derivative mark</w:t>
            </w:r>
          </w:p>
        </w:tc>
        <w:tc>
          <w:tcPr/>
          <w:p>
            <w:pPr>
              <w:pStyle w:val="Compact"/>
              <w:jc w:val="right"/>
            </w:pPr>
            <w:r>
              <w:t xml:space="preserve">$16M loss</w:t>
            </w:r>
          </w:p>
        </w:tc>
        <w:tc>
          <w:tcPr/>
          <w:p>
            <w:pPr>
              <w:pStyle w:val="Compact"/>
              <w:jc w:val="right"/>
            </w:pPr>
            <w:r>
              <w:rPr>
                <w:b/>
                <w:bCs/>
              </w:rPr>
              <w:t xml:space="preserve">$64M loss expected</w:t>
            </w:r>
          </w:p>
        </w:tc>
        <w:tc>
          <w:tcPr/>
          <w:p>
            <w:pPr>
              <w:pStyle w:val="Compact"/>
            </w:pPr>
            <w:r>
              <w:t xml:space="preserve">Potential GAAP-EPS noise</w:t>
            </w:r>
          </w:p>
        </w:tc>
      </w:tr>
    </w:tbl>
    <w:p>
      <w:pPr>
        <w:pStyle w:val="BodyText"/>
      </w:pPr>
      <w:r>
        <w:t xml:space="preserve">At the guided</w:t>
      </w:r>
      <w:r>
        <w:t xml:space="preserve"> </w:t>
      </w:r>
      <w:r>
        <w:rPr>
          <w:b/>
          <w:bCs/>
        </w:rPr>
        <w:t xml:space="preserve">515–525 MBO/d</w:t>
      </w:r>
      <w:r>
        <w:t xml:space="preserve"> </w:t>
      </w:r>
      <w:r>
        <w:t xml:space="preserve">of oil production, FANG’s pre-announced oil realization implies roughly</w:t>
      </w:r>
      <w:r>
        <w:t xml:space="preserve"> </w:t>
      </w:r>
      <m:oMath>
        <m:r>
          <m:t>4.5</m:t>
        </m:r>
        <m:r>
          <m:rPr>
            <m:sty m:val="p"/>
          </m:rPr>
          <m:t>–</m:t>
        </m:r>
      </m:oMath>
      <w:r>
        <w:rPr>
          <w:b/>
          <w:bCs/>
        </w:rPr>
        <w:t xml:space="preserve">4.6 billion of quarterly oil revenue alone</w:t>
      </w:r>
      <w:r>
        <w:t xml:space="preserve">, before gas and NGL revenue. That compares with approximately $3.4 billion of implied oil revenue in 1Q. The calculation is directional—not a forecast of total revenue or earnings—but it illustrates why cash flow should be materially stronger sequentially.</w:t>
      </w:r>
    </w:p>
    <w:bookmarkEnd w:id="10"/>
    <w:bookmarkStart w:id="11" w:name="Xc6c360540bc395ab53e6ed942ab2bc1cf6570cb"/>
    <w:p>
      <w:pPr>
        <w:pStyle w:val="Heading3"/>
      </w:pPr>
      <w:r>
        <w:t xml:space="preserve">2. Production guidance leaves room for a beat—or, at minimum, a higher 2H run rate</w:t>
      </w:r>
    </w:p>
    <w:p>
      <w:pPr>
        <w:pStyle w:val="FirstParagraph"/>
      </w:pPr>
      <w:r>
        <w:t xml:space="preserve">For 2Q, FANG guided to:</w:t>
      </w:r>
    </w:p>
    <w:p>
      <w:pPr>
        <w:pStyle w:val="Compact"/>
        <w:numPr>
          <w:ilvl w:val="0"/>
          <w:numId w:val="1002"/>
        </w:numPr>
      </w:pPr>
      <w:r>
        <w:rPr>
          <w:b/>
          <w:bCs/>
        </w:rPr>
        <w:t xml:space="preserve">Oil production:</w:t>
      </w:r>
      <w:r>
        <w:t xml:space="preserve"> </w:t>
      </w:r>
      <w:r>
        <w:t xml:space="preserve">515–525 MBO/d</w:t>
      </w:r>
    </w:p>
    <w:p>
      <w:pPr>
        <w:pStyle w:val="Compact"/>
        <w:numPr>
          <w:ilvl w:val="0"/>
          <w:numId w:val="1002"/>
        </w:numPr>
      </w:pPr>
      <w:r>
        <w:rPr>
          <w:b/>
          <w:bCs/>
        </w:rPr>
        <w:t xml:space="preserve">Total production:</w:t>
      </w:r>
      <w:r>
        <w:t xml:space="preserve"> </w:t>
      </w:r>
      <w:r>
        <w:t xml:space="preserve">950–990 MBOE/d</w:t>
      </w:r>
    </w:p>
    <w:p>
      <w:pPr>
        <w:pStyle w:val="Compact"/>
        <w:numPr>
          <w:ilvl w:val="0"/>
          <w:numId w:val="1002"/>
        </w:numPr>
      </w:pPr>
      <w:r>
        <w:rPr>
          <w:b/>
          <w:bCs/>
        </w:rPr>
        <w:t xml:space="preserve">Cash capex:</w:t>
      </w:r>
      <w:r>
        <w:t xml:space="preserve"> </w:t>
      </w:r>
      <m:oMath>
        <m:r>
          <m:t>925</m:t>
        </m:r>
        <m:r>
          <m:t>m</m:t>
        </m:r>
        <m:r>
          <m:t>i</m:t>
        </m:r>
        <m:r>
          <m:t>l</m:t>
        </m:r>
        <m:r>
          <m:t>l</m:t>
        </m:r>
        <m:r>
          <m:t>i</m:t>
        </m:r>
        <m:r>
          <m:t>o</m:t>
        </m:r>
        <m:r>
          <m:t>n</m:t>
        </m:r>
        <m:r>
          <m:rPr>
            <m:sty m:val="p"/>
          </m:rPr>
          <m:t>–</m:t>
        </m:r>
      </m:oMath>
      <w:r>
        <w:t xml:space="preserve">1.025 billion</w:t>
      </w:r>
    </w:p>
    <w:p>
      <w:pPr>
        <w:pStyle w:val="FirstParagraph"/>
      </w:pPr>
      <w:r>
        <w:t xml:space="preserve">In 1Q, the company produced</w:t>
      </w:r>
      <w:r>
        <w:t xml:space="preserve"> </w:t>
      </w:r>
      <w:r>
        <w:rPr>
          <w:b/>
          <w:bCs/>
        </w:rPr>
        <w:t xml:space="preserve">521.0 MBO/d of oil</w:t>
      </w:r>
      <w:r>
        <w:t xml:space="preserve"> </w:t>
      </w:r>
      <w:r>
        <w:t xml:space="preserve">and</w:t>
      </w:r>
      <w:r>
        <w:t xml:space="preserve"> </w:t>
      </w:r>
      <w:r>
        <w:rPr>
          <w:b/>
          <w:bCs/>
        </w:rPr>
        <w:t xml:space="preserve">979.4 MBOE/d total</w:t>
      </w:r>
      <w:r>
        <w:t xml:space="preserve">, already at the top end of the subsequent-quarter guide. Management characterized</w:t>
      </w:r>
      <w:r>
        <w:t xml:space="preserve"> </w:t>
      </w:r>
      <w:r>
        <w:rPr>
          <w:b/>
          <w:bCs/>
        </w:rPr>
        <w:t xml:space="preserve">520+ MBO/d</w:t>
      </w:r>
      <w:r>
        <w:t xml:space="preserve"> </w:t>
      </w:r>
      <w:r>
        <w:t xml:space="preserve">as the new baseline and said that, if commodity prices and operational performance remained supportive, it would maintain activity and produce incremental barrels rather than constrain output.</w:t>
      </w:r>
    </w:p>
    <w:p>
      <w:pPr>
        <w:pStyle w:val="BodyText"/>
      </w:pPr>
      <w:r>
        <w:t xml:space="preserve">The key operational question is therefore whether FANG lands near or above the top end of 2Q guidance—and whether it formalizes a higher full-year outlook.</w:t>
      </w:r>
    </w:p>
    <w:p>
      <w:r>
        <w:pict>
          <v:rect style="width:0;height:1.5pt" o:hralign="center" o:hrstd="t" o:hr="t"/>
        </w:pict>
      </w:r>
    </w:p>
    <w:bookmarkEnd w:id="11"/>
    <w:bookmarkEnd w:id="12"/>
    <w:bookmarkStart w:id="13" w:name="Xebf23a2489be2e86c89ab0e48243a9fe1cc956e"/>
    <w:p>
      <w:pPr>
        <w:pStyle w:val="Heading2"/>
      </w:pPr>
      <w:r>
        <w:t xml:space="preserve">Why 2Q guidance matters more than the backward-looking print</w:t>
      </w:r>
    </w:p>
    <w:p>
      <w:pPr>
        <w:pStyle w:val="FirstParagraph"/>
      </w:pPr>
      <w:r>
        <w:t xml:space="preserve">In May, Diamondback increased 2026 oil guidance to</w:t>
      </w:r>
      <w:r>
        <w:t xml:space="preserve"> </w:t>
      </w:r>
      <w:r>
        <w:rPr>
          <w:b/>
          <w:bCs/>
        </w:rPr>
        <w:t xml:space="preserve">520+ MBO/d</w:t>
      </w:r>
      <w:r>
        <w:t xml:space="preserve">, from a prior 500–510 MBO/d range, while raising total cash capex to approximately</w:t>
      </w:r>
      <w:r>
        <w:t xml:space="preserve"> </w:t>
      </w:r>
      <w:r>
        <w:rPr>
          <w:b/>
          <w:bCs/>
        </w:rPr>
        <w:t xml:space="preserve">$3.9 billion</w:t>
      </w:r>
      <w:r>
        <w:t xml:space="preserve"> </w:t>
      </w:r>
      <w:r>
        <w:t xml:space="preserve">from approximately $3.75 billion. The plan added activity through two to three incremental rigs and a fifth completion crew, with much of the acceleration tied to Barnett development and DUC management.</w:t>
      </w:r>
    </w:p>
    <w:p>
      <w:pPr>
        <w:pStyle w:val="BodyText"/>
      </w:pPr>
      <w:r>
        <w:t xml:space="preserve">Management’s stated framework has been deliberately flexible:</w:t>
      </w:r>
    </w:p>
    <w:p>
      <w:pPr>
        <w:pStyle w:val="Compact"/>
        <w:numPr>
          <w:ilvl w:val="0"/>
          <w:numId w:val="1003"/>
        </w:numPr>
      </w:pPr>
      <w:r>
        <w:rPr>
          <w:b/>
          <w:bCs/>
        </w:rPr>
        <w:t xml:space="preserve">Higher oil prices and strong execution:</w:t>
      </w:r>
      <w:r>
        <w:t xml:space="preserve"> </w:t>
      </w:r>
      <w:r>
        <w:t xml:space="preserve">retain activity, let production grow, prioritize debt reduction.</w:t>
      </w:r>
    </w:p>
    <w:p>
      <w:pPr>
        <w:pStyle w:val="Compact"/>
        <w:numPr>
          <w:ilvl w:val="0"/>
          <w:numId w:val="1003"/>
        </w:numPr>
      </w:pPr>
      <w:r>
        <w:rPr>
          <w:b/>
          <w:bCs/>
        </w:rPr>
        <w:t xml:space="preserve">Weaker oil prices or a de-escalation in the macro backdrop:</w:t>
      </w:r>
      <w:r>
        <w:t xml:space="preserve"> </w:t>
      </w:r>
      <w:r>
        <w:t xml:space="preserve">preserve flexibility and avoid a return to aggressive shale-growth behavior.</w:t>
      </w:r>
    </w:p>
    <w:p>
      <w:pPr>
        <w:pStyle w:val="Compact"/>
        <w:numPr>
          <w:ilvl w:val="0"/>
          <w:numId w:val="1003"/>
        </w:numPr>
      </w:pPr>
      <w:r>
        <w:rPr>
          <w:b/>
          <w:bCs/>
        </w:rPr>
        <w:t xml:space="preserve">Production outperformance:</w:t>
      </w:r>
      <w:r>
        <w:t xml:space="preserve"> </w:t>
      </w:r>
      <w:r>
        <w:t xml:space="preserve">potentially translate it into higher volumes rather than curtailment.</w:t>
      </w:r>
    </w:p>
    <w:p>
      <w:pPr>
        <w:pStyle w:val="FirstParagraph"/>
      </w:pPr>
      <w:r>
        <w:t xml:space="preserve">For the call, investors should focus on whether “520+” remains merely a floor or becomes a materially higher full-year outcome.</w:t>
      </w:r>
    </w:p>
    <w:p>
      <w:r>
        <w:pict>
          <v:rect style="width:0;height:1.5pt" o:hralign="center" o:hrstd="t" o:hr="t"/>
        </w:pict>
      </w:r>
    </w:p>
    <w:bookmarkEnd w:id="13"/>
    <w:bookmarkStart w:id="14" w:name="Xda8946589560691af08522eec341a737b94262f"/>
    <w:p>
      <w:pPr>
        <w:pStyle w:val="Heading2"/>
      </w:pPr>
      <w:r>
        <w:t xml:space="preserve">Free cash flow and balance sheet: likely the central positive</w:t>
      </w:r>
    </w:p>
    <w:p>
      <w:pPr>
        <w:pStyle w:val="FirstParagraph"/>
      </w:pPr>
      <w:r>
        <w:t xml:space="preserve">FANG generated</w:t>
      </w:r>
      <w:r>
        <w:t xml:space="preserve"> </w:t>
      </w:r>
      <w:r>
        <w:rPr>
          <w:b/>
          <w:bCs/>
        </w:rPr>
        <w:t xml:space="preserve">$1.7 billion of adjusted free cash flow in 1Q26</w:t>
      </w:r>
      <w:r>
        <w:t xml:space="preserve"> </w:t>
      </w:r>
      <w:r>
        <w:t xml:space="preserve">on $933 million of cash capex, despite a much lower realized oil price than in 2Q. With 2Q oil realizations roughly $23/Bbl higher and capital spending guided at a similar quarterly level, the setup suggests a substantial sequential increase in operating cash flow and free cash flow, subject to taxes, working capital, production mix, and gas-price effects.</w:t>
      </w:r>
    </w:p>
    <w:p>
      <w:pPr>
        <w:pStyle w:val="BodyText"/>
      </w:pPr>
      <w:r>
        <w:t xml:space="preserve">The company exited 1Q with</w:t>
      </w:r>
      <w:r>
        <w:t xml:space="preserve"> </w:t>
      </w:r>
      <w:r>
        <w:rPr>
          <w:b/>
          <w:bCs/>
        </w:rPr>
        <w:t xml:space="preserve">$13.9 billion of consolidated net debt</w:t>
      </w:r>
      <w:r>
        <w:t xml:space="preserve">, but had already:</w:t>
      </w:r>
    </w:p>
    <w:p>
      <w:pPr>
        <w:pStyle w:val="Compact"/>
        <w:numPr>
          <w:ilvl w:val="0"/>
          <w:numId w:val="1004"/>
        </w:numPr>
      </w:pPr>
      <w:r>
        <w:t xml:space="preserve">Retired roughly</w:t>
      </w:r>
      <w:r>
        <w:t xml:space="preserve"> </w:t>
      </w:r>
      <w:r>
        <w:rPr>
          <w:b/>
          <w:bCs/>
        </w:rPr>
        <w:t xml:space="preserve">$777 million</w:t>
      </w:r>
      <w:r>
        <w:t xml:space="preserve"> </w:t>
      </w:r>
      <w:r>
        <w:t xml:space="preserve">of senior notes through a cash-funded tender;</w:t>
      </w:r>
    </w:p>
    <w:p>
      <w:pPr>
        <w:pStyle w:val="Compact"/>
        <w:numPr>
          <w:ilvl w:val="0"/>
          <w:numId w:val="1004"/>
        </w:numPr>
      </w:pPr>
      <w:r>
        <w:t xml:space="preserve">Fully repaid a</w:t>
      </w:r>
      <w:r>
        <w:t xml:space="preserve"> </w:t>
      </w:r>
      <w:r>
        <w:rPr>
          <w:b/>
          <w:bCs/>
        </w:rPr>
        <w:t xml:space="preserve">$550 million term loan</w:t>
      </w:r>
      <w:r>
        <w:t xml:space="preserve">;</w:t>
      </w:r>
    </w:p>
    <w:p>
      <w:pPr>
        <w:pStyle w:val="Compact"/>
        <w:numPr>
          <w:ilvl w:val="0"/>
          <w:numId w:val="1004"/>
        </w:numPr>
      </w:pPr>
      <w:r>
        <w:t xml:space="preserve">Indicated pro forma gross debt of roughly</w:t>
      </w:r>
      <w:r>
        <w:t xml:space="preserve"> </w:t>
      </w:r>
      <w:r>
        <w:rPr>
          <w:b/>
          <w:bCs/>
        </w:rPr>
        <w:t xml:space="preserve">$12.7 billion</w:t>
      </w:r>
      <w:r>
        <w:t xml:space="preserve"> </w:t>
      </w:r>
      <w:r>
        <w:t xml:space="preserve">by late April; and</w:t>
      </w:r>
    </w:p>
    <w:p>
      <w:pPr>
        <w:pStyle w:val="Compact"/>
        <w:numPr>
          <w:ilvl w:val="0"/>
          <w:numId w:val="1004"/>
        </w:numPr>
      </w:pPr>
      <w:r>
        <w:t xml:space="preserve">Expanded and extended its revolving credit facility in June to</w:t>
      </w:r>
      <w:r>
        <w:t xml:space="preserve"> </w:t>
      </w:r>
      <w:r>
        <w:rPr>
          <w:b/>
          <w:bCs/>
        </w:rPr>
        <w:t xml:space="preserve">$3.0 billion</w:t>
      </w:r>
      <w:r>
        <w:t xml:space="preserve">, with a maturity in June 2031 and lower borrowing costs.</w:t>
      </w:r>
    </w:p>
    <w:p>
      <w:pPr>
        <w:pStyle w:val="FirstParagraph"/>
      </w:pPr>
      <w:r>
        <w:t xml:space="preserve">Management previously targeted</w:t>
      </w:r>
      <w:r>
        <w:t xml:space="preserve"> </w:t>
      </w:r>
      <w:r>
        <w:rPr>
          <w:b/>
          <w:bCs/>
        </w:rPr>
        <w:t xml:space="preserve">$10 billion of net debt</w:t>
      </w:r>
      <w:r>
        <w:t xml:space="preserve"> </w:t>
      </w:r>
      <w:r>
        <w:t xml:space="preserve">within 12–18 months, but stated in May that the stronger commodity backdrop could allow that threshold to be reached much sooner.</w:t>
      </w:r>
    </w:p>
    <w:p>
      <w:pPr>
        <w:pStyle w:val="BodyText"/>
      </w:pPr>
      <w:r>
        <w:rPr>
          <w:b/>
          <w:bCs/>
        </w:rPr>
        <w:t xml:space="preserve">What matters:</w:t>
      </w:r>
      <w:r>
        <w:t xml:space="preserve"> </w:t>
      </w:r>
      <w:r>
        <w:t xml:space="preserve">A very strong 2Q cash-flow result is already largely signaled by prices. The upside surprise would be an accelerated debt-reduction trajectory, potentially including further debt retirement or a clearer outlook for 2027 maturities.</w:t>
      </w:r>
    </w:p>
    <w:p>
      <w:r>
        <w:pict>
          <v:rect style="width:0;height:1.5pt" o:hralign="center" o:hrstd="t" o:hr="t"/>
        </w:pict>
      </w:r>
    </w:p>
    <w:bookmarkEnd w:id="14"/>
    <w:bookmarkStart w:id="15" w:name="Xa8779a27ead4d3f455e6cc8ffe41889d80c2a1c"/>
    <w:p>
      <w:pPr>
        <w:pStyle w:val="Heading2"/>
      </w:pPr>
      <w:r>
        <w:t xml:space="preserve">Capital returns: buybacks are no longer the automatic outlet for excess cash</w:t>
      </w:r>
    </w:p>
    <w:p>
      <w:pPr>
        <w:pStyle w:val="FirstParagraph"/>
      </w:pPr>
      <w:r>
        <w:t xml:space="preserve">FANG raised its base dividend to</w:t>
      </w:r>
      <w:r>
        <w:t xml:space="preserve"> </w:t>
      </w:r>
      <m:oMath>
        <m:r>
          <m:t>1.10</m:t>
        </m:r>
        <m:r>
          <m:t>p</m:t>
        </m:r>
        <m:r>
          <m:t>e</m:t>
        </m:r>
        <m:r>
          <m:t>r</m:t>
        </m:r>
        <m:r>
          <m:t>s</m:t>
        </m:r>
        <m:r>
          <m:t>h</m:t>
        </m:r>
        <m:r>
          <m:t>a</m:t>
        </m:r>
        <m:r>
          <m:t>r</m:t>
        </m:r>
        <m:r>
          <m:t>e</m:t>
        </m:r>
        <m:r>
          <m:t>q</m:t>
        </m:r>
        <m:r>
          <m:t>u</m:t>
        </m:r>
        <m:r>
          <m:t>a</m:t>
        </m:r>
        <m:r>
          <m:t>r</m:t>
        </m:r>
        <m:r>
          <m:t>t</m:t>
        </m:r>
        <m:r>
          <m:t>e</m:t>
        </m:r>
        <m:r>
          <m:t>r</m:t>
        </m:r>
        <m:r>
          <m:t>l</m:t>
        </m:r>
        <m:r>
          <m:t>y</m:t>
        </m:r>
        <m:r>
          <m:rPr>
            <m:sty m:val="p"/>
          </m:rPr>
          <m:t>*</m:t>
        </m:r>
        <m:r>
          <m:rPr>
            <m:sty m:val="p"/>
          </m:rPr>
          <m:t>*</m:t>
        </m:r>
        <m:r>
          <m:t>i</m:t>
        </m:r>
        <m:r>
          <m:t>n</m:t>
        </m:r>
        <m:r>
          <m:t>1</m:t>
        </m:r>
        <m:r>
          <m:t>Q</m:t>
        </m:r>
        <m:r>
          <m:t>a</m:t>
        </m:r>
        <m:r>
          <m:t>n</m:t>
        </m:r>
        <m:r>
          <m:t>d</m:t>
        </m:r>
        <m:r>
          <m:t>r</m:t>
        </m:r>
        <m:r>
          <m:t>e</m:t>
        </m:r>
        <m:r>
          <m:t>p</m:t>
        </m:r>
        <m:r>
          <m:t>u</m:t>
        </m:r>
        <m:r>
          <m:t>r</m:t>
        </m:r>
        <m:r>
          <m:t>c</m:t>
        </m:r>
        <m:r>
          <m:t>h</m:t>
        </m:r>
        <m:r>
          <m:t>a</m:t>
        </m:r>
        <m:r>
          <m:t>s</m:t>
        </m:r>
        <m:r>
          <m:t>e</m:t>
        </m:r>
        <m:r>
          <m:t>d</m:t>
        </m:r>
        <m:r>
          <m:rPr>
            <m:sty m:val="p"/>
          </m:rPr>
          <m:t>*</m:t>
        </m:r>
        <m:r>
          <m:rPr>
            <m:sty m:val="p"/>
          </m:rPr>
          <m:t>*</m:t>
        </m:r>
      </m:oMath>
      <w:r>
        <w:rPr>
          <w:b/>
          <w:bCs/>
        </w:rPr>
        <w:t xml:space="preserve">548 million</w:t>
      </w:r>
      <w:r>
        <w:t xml:space="preserve"> </w:t>
      </w:r>
      <w:r>
        <w:t xml:space="preserve">of stock during the quarter. However, management also moved away from a rigid quarterly return-of-capital formula, emphasizing that it wants the flexibility to direct excess cash toward the balance sheet during unusually strong commodity-price environments.</w:t>
      </w:r>
    </w:p>
    <w:p>
      <w:pPr>
        <w:pStyle w:val="BodyText"/>
      </w:pPr>
      <w:r>
        <w:t xml:space="preserve">That is strategically sensible, but it creates an earnings-call tension:</w:t>
      </w:r>
    </w:p>
    <w:p>
      <w:pPr>
        <w:pStyle w:val="Compact"/>
        <w:numPr>
          <w:ilvl w:val="0"/>
          <w:numId w:val="1005"/>
        </w:numPr>
      </w:pPr>
      <w:r>
        <w:rPr>
          <w:b/>
          <w:bCs/>
        </w:rPr>
        <w:t xml:space="preserve">Bullish interpretation:</w:t>
      </w:r>
      <w:r>
        <w:t xml:space="preserve"> </w:t>
      </w:r>
      <w:r>
        <w:t xml:space="preserve">debt reduction shifts enterprise value from creditors to equity holders, lowers risk, and improves FANG’s ability to buy back stock or pursue opportunities later in the cycle.</w:t>
      </w:r>
    </w:p>
    <w:p>
      <w:pPr>
        <w:pStyle w:val="Compact"/>
        <w:numPr>
          <w:ilvl w:val="0"/>
          <w:numId w:val="1005"/>
        </w:numPr>
      </w:pPr>
      <w:r>
        <w:rPr>
          <w:b/>
          <w:bCs/>
        </w:rPr>
        <w:t xml:space="preserve">Bearish interpretation:</w:t>
      </w:r>
      <w:r>
        <w:t xml:space="preserve"> </w:t>
      </w:r>
      <w:r>
        <w:t xml:space="preserve">a lower near-term buyback cadence may reduce the immediate per-share benefit of a high-cash-flow period.</w:t>
      </w:r>
    </w:p>
    <w:p>
      <w:pPr>
        <w:pStyle w:val="FirstParagraph"/>
      </w:pPr>
      <w:r>
        <w:t xml:space="preserve">Investors should look for a quantitative update on:</w:t>
      </w:r>
    </w:p>
    <w:p>
      <w:pPr>
        <w:pStyle w:val="Compact"/>
        <w:numPr>
          <w:ilvl w:val="0"/>
          <w:numId w:val="1006"/>
        </w:numPr>
      </w:pPr>
      <w:r>
        <w:t xml:space="preserve">2Q repurchases;</w:t>
      </w:r>
    </w:p>
    <w:p>
      <w:pPr>
        <w:pStyle w:val="Compact"/>
        <w:numPr>
          <w:ilvl w:val="0"/>
          <w:numId w:val="1006"/>
        </w:numPr>
      </w:pPr>
      <w:r>
        <w:t xml:space="preserve">Debt reduction since quarter-end;</w:t>
      </w:r>
    </w:p>
    <w:p>
      <w:pPr>
        <w:pStyle w:val="Compact"/>
        <w:numPr>
          <w:ilvl w:val="0"/>
          <w:numId w:val="1006"/>
        </w:numPr>
      </w:pPr>
      <w:r>
        <w:t xml:space="preserve">Remaining buyback authorization;</w:t>
      </w:r>
    </w:p>
    <w:p>
      <w:pPr>
        <w:pStyle w:val="Compact"/>
        <w:numPr>
          <w:ilvl w:val="0"/>
          <w:numId w:val="1006"/>
        </w:numPr>
      </w:pPr>
      <w:r>
        <w:t xml:space="preserve">The expected balance among dividend, debt paydown, cash retention, and repurchases in 2H26.</w:t>
      </w:r>
    </w:p>
    <w:p>
      <w:r>
        <w:pict>
          <v:rect style="width:0;height:1.5pt" o:hralign="center" o:hrstd="t" o:hr="t"/>
        </w:pict>
      </w:r>
    </w:p>
    <w:bookmarkEnd w:id="15"/>
    <w:bookmarkStart w:id="19" w:name="operational-factors-to-watch"/>
    <w:p>
      <w:pPr>
        <w:pStyle w:val="Heading2"/>
      </w:pPr>
      <w:r>
        <w:t xml:space="preserve">Operational factors to watch</w:t>
      </w:r>
    </w:p>
    <w:bookmarkStart w:id="16" w:name="well-productivity-and-cost-efficiency"/>
    <w:p>
      <w:pPr>
        <w:pStyle w:val="Heading3"/>
      </w:pPr>
      <w:r>
        <w:t xml:space="preserve">Well productivity and cost efficiency</w:t>
      </w:r>
    </w:p>
    <w:p>
      <w:pPr>
        <w:pStyle w:val="FirstParagraph"/>
      </w:pPr>
      <w:r>
        <w:t xml:space="preserve">FANG attributed its 1Q production outperformance to stronger well results, lower downtime, completion optimization, automation, and field-level workovers. It also reported progress in drilling cost efficiency, including improvements in Wolfcamp D and early Barnett development.</w:t>
      </w:r>
    </w:p>
    <w:p>
      <w:pPr>
        <w:pStyle w:val="BodyText"/>
      </w:pPr>
      <w:r>
        <w:t xml:space="preserve">The important question is whether this is</w:t>
      </w:r>
      <w:r>
        <w:t xml:space="preserve"> </w:t>
      </w:r>
      <w:r>
        <w:rPr>
          <w:b/>
          <w:bCs/>
        </w:rPr>
        <w:t xml:space="preserve">repeatable productivity improvement</w:t>
      </w:r>
      <w:r>
        <w:t xml:space="preserve"> </w:t>
      </w:r>
      <w:r>
        <w:t xml:space="preserve">or simply favorable quarter-to-quarter execution. Continued gains would support a durable lower cost structure and make the higher-activity plan more attractive.</w:t>
      </w:r>
    </w:p>
    <w:bookmarkEnd w:id="16"/>
    <w:bookmarkStart w:id="17" w:name="duc-inventory-and-completion-cadence"/>
    <w:p>
      <w:pPr>
        <w:pStyle w:val="Heading3"/>
      </w:pPr>
      <w:r>
        <w:t xml:space="preserve">DUC inventory and completion cadence</w:t>
      </w:r>
    </w:p>
    <w:p>
      <w:pPr>
        <w:pStyle w:val="FirstParagraph"/>
      </w:pPr>
      <w:r>
        <w:t xml:space="preserve">The company planned to draw DUCs in 2Q and rebuild inventory later in the year as added rigs contribute. That creates a modest timing risk:</w:t>
      </w:r>
    </w:p>
    <w:p>
      <w:pPr>
        <w:pStyle w:val="Compact"/>
        <w:numPr>
          <w:ilvl w:val="0"/>
          <w:numId w:val="1007"/>
        </w:numPr>
      </w:pPr>
      <w:r>
        <w:t xml:space="preserve">A favorable 2Q production result may partly reflect DUC conversion;</w:t>
      </w:r>
    </w:p>
    <w:p>
      <w:pPr>
        <w:pStyle w:val="Compact"/>
        <w:numPr>
          <w:ilvl w:val="0"/>
          <w:numId w:val="1007"/>
        </w:numPr>
      </w:pPr>
      <w:r>
        <w:t xml:space="preserve">The market will want confidence that 2H production can hold or grow while DUC inventory is replenished;</w:t>
      </w:r>
    </w:p>
    <w:p>
      <w:pPr>
        <w:pStyle w:val="Compact"/>
        <w:numPr>
          <w:ilvl w:val="0"/>
          <w:numId w:val="1007"/>
        </w:numPr>
      </w:pPr>
      <w:r>
        <w:t xml:space="preserve">FANG has indicated it prefers roughly 200 DUCs to preserve operating flexibility across five frac crews.</w:t>
      </w:r>
    </w:p>
    <w:bookmarkEnd w:id="17"/>
    <w:bookmarkStart w:id="18" w:name="waha-gas-exposure"/>
    <w:p>
      <w:pPr>
        <w:pStyle w:val="Heading3"/>
      </w:pPr>
      <w:r>
        <w:t xml:space="preserve">Waha gas exposure</w:t>
      </w:r>
    </w:p>
    <w:p>
      <w:pPr>
        <w:pStyle w:val="FirstParagraph"/>
      </w:pPr>
      <w:r>
        <w:t xml:space="preserve">This remains the clearest operational blemish. Management has said every molecule has continued to move, but the economics of very weak Waha pricing can lead to selective curtailment and reduce the value of NGLs and, at sufficiently negative prices, oil production.</w:t>
      </w:r>
    </w:p>
    <w:p>
      <w:pPr>
        <w:pStyle w:val="BodyText"/>
      </w:pPr>
      <w:r>
        <w:t xml:space="preserve">FANG is comparatively protected through financial hedges, physical arrangements, and a high oil weighting. Still, the market will want an update on:</w:t>
      </w:r>
    </w:p>
    <w:p>
      <w:pPr>
        <w:pStyle w:val="Compact"/>
        <w:numPr>
          <w:ilvl w:val="0"/>
          <w:numId w:val="1008"/>
        </w:numPr>
      </w:pPr>
      <w:r>
        <w:t xml:space="preserve">Any production shut-ins;</w:t>
      </w:r>
    </w:p>
    <w:p>
      <w:pPr>
        <w:pStyle w:val="Compact"/>
        <w:numPr>
          <w:ilvl w:val="0"/>
          <w:numId w:val="1008"/>
        </w:numPr>
      </w:pPr>
      <w:r>
        <w:t xml:space="preserve">The magnitude of gas-related cash-flow drag;</w:t>
      </w:r>
    </w:p>
    <w:p>
      <w:pPr>
        <w:pStyle w:val="Compact"/>
        <w:numPr>
          <w:ilvl w:val="0"/>
          <w:numId w:val="1008"/>
        </w:numPr>
      </w:pPr>
      <w:r>
        <w:t xml:space="preserve">Timing of new pipeline capacity;</w:t>
      </w:r>
    </w:p>
    <w:p>
      <w:pPr>
        <w:pStyle w:val="Compact"/>
        <w:numPr>
          <w:ilvl w:val="0"/>
          <w:numId w:val="1008"/>
        </w:numPr>
      </w:pPr>
      <w:r>
        <w:t xml:space="preserve">Progress on physical gas monetization and the prospective in-basin power/data-center project.</w:t>
      </w:r>
    </w:p>
    <w:p>
      <w:r>
        <w:pict>
          <v:rect style="width:0;height:1.5pt" o:hralign="center" o:hrstd="t" o:hr="t"/>
        </w:pict>
      </w:r>
    </w:p>
    <w:bookmarkEnd w:id="18"/>
    <w:bookmarkEnd w:id="19"/>
    <w:bookmarkStart w:id="20" w:name="stock-setup-into-the-print"/>
    <w:p>
      <w:pPr>
        <w:pStyle w:val="Heading2"/>
      </w:pPr>
      <w:r>
        <w:t xml:space="preserve">Stock setup into the print</w:t>
      </w:r>
    </w:p>
    <w:p>
      <w:pPr>
        <w:pStyle w:val="FirstParagraph"/>
      </w:pPr>
      <w:r>
        <w:t xml:space="preserve">FANG closed at</w:t>
      </w:r>
      <w:r>
        <w:t xml:space="preserve"> </w:t>
      </w:r>
      <w:r>
        <w:rPr>
          <w:b/>
          <w:bCs/>
        </w:rPr>
        <w:t xml:space="preserve">$202.99 on July 31</w:t>
      </w:r>
      <w:r>
        <w:t xml:space="preserve">, up about</w:t>
      </w:r>
      <w:r>
        <w:t xml:space="preserve"> </w:t>
      </w:r>
      <w:r>
        <w:rPr>
          <w:b/>
          <w:bCs/>
        </w:rPr>
        <w:t xml:space="preserve">15.5% from its June 30 close</w:t>
      </w:r>
      <w:r>
        <w:t xml:space="preserve"> </w:t>
      </w:r>
      <w:r>
        <w:t xml:space="preserve">and about</w:t>
      </w:r>
      <w:r>
        <w:t xml:space="preserve"> </w:t>
      </w:r>
      <w:r>
        <w:rPr>
          <w:b/>
          <w:bCs/>
        </w:rPr>
        <w:t xml:space="preserve">18% from its early-July low</w:t>
      </w:r>
      <w:r>
        <w:t xml:space="preserve">, as oil prices strengthened. The stock has therefore already discounted a meaningful portion of the near-term commodity-price uplift.</w:t>
      </w:r>
    </w:p>
    <w:p>
      <w:pPr>
        <w:pStyle w:val="BodyText"/>
      </w:pPr>
      <w:r>
        <w:t xml:space="preserve">That raises the hurdle: a simple earnings beat may not be sufficient. The more favorable reaction scenario likely requires some combination of:</w:t>
      </w:r>
    </w:p>
    <w:p>
      <w:pPr>
        <w:pStyle w:val="Compact"/>
        <w:numPr>
          <w:ilvl w:val="0"/>
          <w:numId w:val="1009"/>
        </w:numPr>
      </w:pPr>
      <w:r>
        <w:t xml:space="preserve">Production at or above the high end of guidance;</w:t>
      </w:r>
    </w:p>
    <w:p>
      <w:pPr>
        <w:pStyle w:val="Compact"/>
        <w:numPr>
          <w:ilvl w:val="0"/>
          <w:numId w:val="1009"/>
        </w:numPr>
      </w:pPr>
      <w:r>
        <w:t xml:space="preserve">Increased 2026 oil-production outlook;</w:t>
      </w:r>
    </w:p>
    <w:p>
      <w:pPr>
        <w:pStyle w:val="Compact"/>
        <w:numPr>
          <w:ilvl w:val="0"/>
          <w:numId w:val="1009"/>
        </w:numPr>
      </w:pPr>
      <w:r>
        <w:t xml:space="preserve">Clear evidence of stronger-than-expected free cash flow;</w:t>
      </w:r>
    </w:p>
    <w:p>
      <w:pPr>
        <w:pStyle w:val="Compact"/>
        <w:numPr>
          <w:ilvl w:val="0"/>
          <w:numId w:val="1009"/>
        </w:numPr>
      </w:pPr>
      <w:r>
        <w:t xml:space="preserve">Meaningful debt reduction;</w:t>
      </w:r>
    </w:p>
    <w:p>
      <w:pPr>
        <w:pStyle w:val="Compact"/>
        <w:numPr>
          <w:ilvl w:val="0"/>
          <w:numId w:val="1009"/>
        </w:numPr>
      </w:pPr>
      <w:r>
        <w:t xml:space="preserve">Stable capex and service-cost guidance; and</w:t>
      </w:r>
    </w:p>
    <w:p>
      <w:pPr>
        <w:pStyle w:val="Compact"/>
        <w:numPr>
          <w:ilvl w:val="0"/>
          <w:numId w:val="1009"/>
        </w:numPr>
      </w:pPr>
      <w:r>
        <w:t xml:space="preserve">A disciplined, credible approach to further growth.</w:t>
      </w:r>
    </w:p>
    <w:p>
      <w:r>
        <w:pict>
          <v:rect style="width:0;height:1.5pt" o:hralign="center" o:hrstd="t" o:hr="t"/>
        </w:pict>
      </w:r>
    </w:p>
    <w:bookmarkEnd w:id="20"/>
    <w:bookmarkStart w:id="23" w:name="earnings-call-checklist"/>
    <w:p>
      <w:pPr>
        <w:pStyle w:val="Heading2"/>
      </w:pPr>
      <w:r>
        <w:t xml:space="preserve">Earnings-call checklist</w:t>
      </w:r>
    </w:p>
    <w:bookmarkStart w:id="21" w:name="potential-positives"/>
    <w:p>
      <w:pPr>
        <w:pStyle w:val="Heading3"/>
      </w:pPr>
      <w:r>
        <w:t xml:space="preserve">Potential positives</w:t>
      </w:r>
    </w:p>
    <w:p>
      <w:pPr>
        <w:pStyle w:val="Compact"/>
        <w:numPr>
          <w:ilvl w:val="0"/>
          <w:numId w:val="1010"/>
        </w:numPr>
      </w:pPr>
      <w:r>
        <w:t xml:space="preserve">Oil production above</w:t>
      </w:r>
      <w:r>
        <w:t xml:space="preserve"> </w:t>
      </w:r>
      <w:r>
        <w:rPr>
          <w:b/>
          <w:bCs/>
        </w:rPr>
        <w:t xml:space="preserve">525 MBO/d</w:t>
      </w:r>
      <w:r>
        <w:t xml:space="preserve"> </w:t>
      </w:r>
      <w:r>
        <w:t xml:space="preserve">or an increased full-year “520+” outlook.</w:t>
      </w:r>
    </w:p>
    <w:p>
      <w:pPr>
        <w:pStyle w:val="Compact"/>
        <w:numPr>
          <w:ilvl w:val="0"/>
          <w:numId w:val="1010"/>
        </w:numPr>
      </w:pPr>
      <w:r>
        <w:t xml:space="preserve">Cash capex at or below the midpoint of the</w:t>
      </w:r>
      <w:r>
        <w:t xml:space="preserve"> </w:t>
      </w:r>
      <m:oMath>
        <m:r>
          <m:t>925</m:t>
        </m:r>
        <m:r>
          <m:t>m</m:t>
        </m:r>
        <m:r>
          <m:t>i</m:t>
        </m:r>
        <m:r>
          <m:t>l</m:t>
        </m:r>
        <m:r>
          <m:t>l</m:t>
        </m:r>
        <m:r>
          <m:t>i</m:t>
        </m:r>
        <m:r>
          <m:t>o</m:t>
        </m:r>
        <m:r>
          <m:t>n</m:t>
        </m:r>
        <m:r>
          <m:rPr>
            <m:sty m:val="p"/>
          </m:rPr>
          <m:t>–</m:t>
        </m:r>
      </m:oMath>
      <w:r>
        <w:t xml:space="preserve">1.025 billion range.</w:t>
      </w:r>
    </w:p>
    <w:p>
      <w:pPr>
        <w:pStyle w:val="Compact"/>
        <w:numPr>
          <w:ilvl w:val="0"/>
          <w:numId w:val="1010"/>
        </w:numPr>
      </w:pPr>
      <w:r>
        <w:t xml:space="preserve">Higher full-year free-cash-flow expectations without another material capex increase.</w:t>
      </w:r>
    </w:p>
    <w:p>
      <w:pPr>
        <w:pStyle w:val="Compact"/>
        <w:numPr>
          <w:ilvl w:val="0"/>
          <w:numId w:val="1010"/>
        </w:numPr>
      </w:pPr>
      <w:r>
        <w:t xml:space="preserve">Faster progress toward the $10 billion net-debt objective.</w:t>
      </w:r>
    </w:p>
    <w:p>
      <w:pPr>
        <w:pStyle w:val="Compact"/>
        <w:numPr>
          <w:ilvl w:val="0"/>
          <w:numId w:val="1010"/>
        </w:numPr>
      </w:pPr>
      <w:r>
        <w:t xml:space="preserve">Evidence that well-performance gains and lower downtime are persisting.</w:t>
      </w:r>
    </w:p>
    <w:p>
      <w:pPr>
        <w:pStyle w:val="Compact"/>
        <w:numPr>
          <w:ilvl w:val="0"/>
          <w:numId w:val="1010"/>
        </w:numPr>
      </w:pPr>
      <w:r>
        <w:t xml:space="preserve">Constructive update on Barnett acreage, lateral-length efficiency, or enhanced-recovery/surfactant tests.</w:t>
      </w:r>
    </w:p>
    <w:bookmarkEnd w:id="21"/>
    <w:bookmarkStart w:id="22" w:name="potential-negatives"/>
    <w:p>
      <w:pPr>
        <w:pStyle w:val="Heading3"/>
      </w:pPr>
      <w:r>
        <w:t xml:space="preserve">Potential negatives</w:t>
      </w:r>
    </w:p>
    <w:p>
      <w:pPr>
        <w:pStyle w:val="Compact"/>
        <w:numPr>
          <w:ilvl w:val="0"/>
          <w:numId w:val="1011"/>
        </w:numPr>
      </w:pPr>
      <w:r>
        <w:t xml:space="preserve">Production only reaches the low end of guidance despite the DUC draw.</w:t>
      </w:r>
    </w:p>
    <w:p>
      <w:pPr>
        <w:pStyle w:val="Compact"/>
        <w:numPr>
          <w:ilvl w:val="0"/>
          <w:numId w:val="1011"/>
        </w:numPr>
      </w:pPr>
      <w:r>
        <w:t xml:space="preserve">Capex inflation or service-cost pressure emerges as Permian activity increases.</w:t>
      </w:r>
    </w:p>
    <w:p>
      <w:pPr>
        <w:pStyle w:val="Compact"/>
        <w:numPr>
          <w:ilvl w:val="0"/>
          <w:numId w:val="1011"/>
        </w:numPr>
      </w:pPr>
      <w:r>
        <w:t xml:space="preserve">Waha weakness causes larger-than-expected curtailments or undermines 2H volume visibility.</w:t>
      </w:r>
    </w:p>
    <w:p>
      <w:pPr>
        <w:pStyle w:val="Compact"/>
        <w:numPr>
          <w:ilvl w:val="0"/>
          <w:numId w:val="1011"/>
        </w:numPr>
      </w:pPr>
      <w:r>
        <w:t xml:space="preserve">Management increases activity materially without demonstrating per-share free-cash-flow accretion.</w:t>
      </w:r>
    </w:p>
    <w:p>
      <w:pPr>
        <w:pStyle w:val="Compact"/>
        <w:numPr>
          <w:ilvl w:val="0"/>
          <w:numId w:val="1011"/>
        </w:numPr>
      </w:pPr>
      <w:r>
        <w:t xml:space="preserve">Buybacks fall sharply without a sufficiently compelling debt-reduction explanation.</w:t>
      </w:r>
    </w:p>
    <w:p>
      <w:pPr>
        <w:pStyle w:val="Compact"/>
        <w:numPr>
          <w:ilvl w:val="0"/>
          <w:numId w:val="1011"/>
        </w:numPr>
      </w:pPr>
      <w:r>
        <w:t xml:space="preserve">A large GAAP derivative mark or other non-cash items obscure otherwise strong underlying results.</w:t>
      </w:r>
    </w:p>
    <w:p>
      <w:r>
        <w:pict>
          <v:rect style="width:0;height:1.5pt" o:hralign="center" o:hrstd="t" o:hr="t"/>
        </w:pict>
      </w:r>
    </w:p>
    <w:bookmarkEnd w:id="22"/>
    <w:bookmarkEnd w:id="23"/>
    <w:bookmarkStart w:id="24" w:name="bottom-line"/>
    <w:p>
      <w:pPr>
        <w:pStyle w:val="Heading2"/>
      </w:pPr>
      <w:r>
        <w:t xml:space="preserve">Bottom line</w:t>
      </w:r>
    </w:p>
    <w:p>
      <w:pPr>
        <w:pStyle w:val="FirstParagraph"/>
      </w:pPr>
      <w:r>
        <w:rPr>
          <w:b/>
          <w:bCs/>
        </w:rPr>
        <w:t xml:space="preserve">FANG should report a very strong 2Q cash-flow quarter, and much of that is already visible in its $96.82/Bbl realized oil price.</w:t>
      </w:r>
      <w:r>
        <w:t xml:space="preserve"> </w:t>
      </w:r>
      <w:r>
        <w:t xml:space="preserve">The investment debate is not whether the reported quarter will improve sequentially—it likely will—but whether Diamondback can convert the oil-price windfall into</w:t>
      </w:r>
      <w:r>
        <w:t xml:space="preserve"> </w:t>
      </w:r>
      <w:r>
        <w:rPr>
          <w:b/>
          <w:bCs/>
        </w:rPr>
        <w:t xml:space="preserve">sustainable per-share value</w:t>
      </w:r>
      <w:r>
        <w:t xml:space="preserve"> </w:t>
      </w:r>
      <w:r>
        <w:t xml:space="preserve">through disciplined production growth, continued cost and well-performance gains, and rapid balance-sheet improvement.</w:t>
      </w:r>
    </w:p>
    <w:p>
      <w:pPr>
        <w:pStyle w:val="BodyText"/>
      </w:pPr>
      <w:r>
        <w:t xml:space="preserve">The preferred outcome is straightforward:</w:t>
      </w:r>
      <w:r>
        <w:t xml:space="preserve"> </w:t>
      </w:r>
      <w:r>
        <w:rPr>
          <w:b/>
          <w:bCs/>
        </w:rPr>
        <w:t xml:space="preserve">production near or above the high end of guidance, stable capital intensity, substantial free cash flow, a firmer 2H production outlook, and visible debt reduction.</w:t>
      </w:r>
      <w:r>
        <w:t xml:space="preserve"> </w:t>
      </w:r>
      <w:r>
        <w:t xml:space="preserve">That would reinforce FANG’s differentiation as a large-scale Permian operator capable of responding to a favorable macro environment without reverting to undisciplined growth.</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2026-08-03T00:25:09Z</dcterms:created>
  <dcterms:modified xsi:type="dcterms:W3CDTF">2026-08-03T00:25:09Z</dcterms:modified>
</cp:coreProperties>
</file>

<file path=docProps/custom.xml><?xml version="1.0" encoding="utf-8"?>
<Properties xmlns="http://schemas.openxmlformats.org/officeDocument/2006/custom-properties" xmlns:vt="http://schemas.openxmlformats.org/officeDocument/2006/docPropsVTypes"/>
</file>