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Diamondback Energy, Inc. (FANG)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Diamondback Energy, Inc.</w:t>
            </w:r>
          </w:p>
        </w:tc>
      </w:tr>
      <w:tr>
        <w:tc>
          <w:tcPr>
            <w:tcW w:type="dxa" w:w="4320"/>
          </w:tcPr>
          <w:p>
            <w:r>
              <w:rPr>
                <w:rFonts w:ascii="Calibri" w:hAnsi="Calibri"/>
                <w:b/>
                <w:sz w:val="22"/>
              </w:rPr>
              <w:t>Ticker</w:t>
            </w:r>
          </w:p>
        </w:tc>
        <w:tc>
          <w:tcPr>
            <w:tcW w:type="dxa" w:w="4320"/>
          </w:tcPr>
          <w:p>
            <w:r>
              <w:rPr>
                <w:rFonts w:ascii="Calibri" w:hAnsi="Calibri"/>
                <w:sz w:val="22"/>
              </w:rPr>
              <w:t>FANG</w:t>
            </w:r>
          </w:p>
        </w:tc>
      </w:tr>
      <w:tr>
        <w:tc>
          <w:tcPr>
            <w:tcW w:type="dxa" w:w="4320"/>
          </w:tcPr>
          <w:p>
            <w:r>
              <w:rPr>
                <w:rFonts w:ascii="Calibri" w:hAnsi="Calibri"/>
                <w:b/>
                <w:sz w:val="22"/>
              </w:rPr>
              <w:t>Upcoming Earnings Date</w:t>
            </w:r>
          </w:p>
        </w:tc>
        <w:tc>
          <w:tcPr>
            <w:tcW w:type="dxa" w:w="4320"/>
          </w:tcPr>
          <w:p>
            <w:r>
              <w:rPr>
                <w:rFonts w:ascii="Calibri" w:hAnsi="Calibri"/>
                <w:sz w:val="22"/>
              </w:rPr>
              <w:t>August 4, 2026 (Q2 2026)</w:t>
            </w:r>
          </w:p>
        </w:tc>
      </w:tr>
      <w:tr>
        <w:tc>
          <w:tcPr>
            <w:tcW w:type="dxa" w:w="4320"/>
          </w:tcPr>
          <w:p>
            <w:r>
              <w:rPr>
                <w:rFonts w:ascii="Calibri" w:hAnsi="Calibri"/>
                <w:b/>
                <w:sz w:val="22"/>
              </w:rPr>
              <w:t>Prepared Date</w:t>
            </w:r>
          </w:p>
        </w:tc>
        <w:tc>
          <w:tcPr>
            <w:tcW w:type="dxa" w:w="4320"/>
          </w:tcPr>
          <w:p>
            <w:r>
              <w:rPr>
                <w:rFonts w:ascii="Calibri" w:hAnsi="Calibri"/>
                <w:sz w:val="22"/>
              </w:rPr>
              <w:t>August 2,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is constructive — </w:t>
      </w:r>
      <w:r>
        <w:rPr>
          <w:rFonts w:ascii="Calibri" w:hAnsi="Calibri"/>
          <w:b/>
          <w:color w:val="525866"/>
          <w:sz w:val="22"/>
        </w:rPr>
        <w:t>consensus has moved up meaningfully since the Q1 print</w:t>
      </w:r>
      <w:r>
        <w:rPr>
          <w:rFonts w:ascii="Calibri" w:hAnsi="Calibri"/>
          <w:color w:val="525866"/>
          <w:sz w:val="22"/>
        </w:rPr>
        <w:t xml:space="preserve">, oil production is the key swing factor, and FANG's </w:t>
      </w:r>
      <w:r>
        <w:rPr>
          <w:rFonts w:ascii="Calibri" w:hAnsi="Calibri"/>
          <w:b/>
          <w:color w:val="525866"/>
          <w:sz w:val="22"/>
        </w:rPr>
        <w:t>"green light" ramp</w:t>
      </w:r>
      <w:r>
        <w:rPr>
          <w:rFonts w:ascii="Calibri" w:hAnsi="Calibri"/>
          <w:color w:val="525866"/>
          <w:sz w:val="22"/>
        </w:rPr>
        <w:t xml:space="preserve"> is the wildcard that could drive a beat if well performance and DUC drawdown execution tracked above plan.</w:t>
      </w:r>
    </w:p>
    <w:p>
      <w:r>
        <w:rPr>
          <w:rFonts w:ascii="Calibri" w:hAnsi="Calibri"/>
          <w:color w:val="525866"/>
          <w:sz w:val="22"/>
        </w:rPr>
        <w:t xml:space="preserve">FANG heads into Q2 2026 earnings with a </w:t>
      </w:r>
      <w:r>
        <w:rPr>
          <w:rFonts w:ascii="Calibri" w:hAnsi="Calibri"/>
          <w:b/>
          <w:color w:val="525866"/>
          <w:sz w:val="22"/>
        </w:rPr>
        <w:t>high bar set by its own Q1 beat</w:t>
      </w:r>
      <w:r>
        <w:rPr>
          <w:rFonts w:ascii="Calibri" w:hAnsi="Calibri"/>
          <w:color w:val="525866"/>
          <w:sz w:val="22"/>
        </w:rPr>
        <w:t xml:space="preserve"> and the subsequent "green light" activity ramp, but the setup remains favorable given the structural tailwinds from the Middle East supply disruption and FANG's best-in-class cost position. Consensus oil production of ~523 Mbpd implies modest sequential growth from Q1's 521 Mbpd actual, and the company's </w:t>
      </w:r>
      <w:r>
        <w:rPr>
          <w:rFonts w:ascii="Calibri" w:hAnsi="Calibri"/>
          <w:b/>
          <w:color w:val="525866"/>
          <w:sz w:val="22"/>
        </w:rPr>
        <w:t>DUC drawdown strategy in Q2</w:t>
      </w:r>
      <w:r>
        <w:rPr>
          <w:rFonts w:ascii="Calibri" w:hAnsi="Calibri"/>
          <w:color w:val="525866"/>
          <w:sz w:val="22"/>
        </w:rPr>
        <w:t xml:space="preserve"> — pulling forward completions ahead of new rig additions — should support production delivery. Estimate revisions have been sharply positive since the Q1 print, with Q2 EPS consensus rising from $5.74 to $5.96 and FCF estimates moving higher, suggesting the Street has already priced in a solid quarter. The stock has </w:t>
      </w:r>
      <w:r>
        <w:rPr>
          <w:rFonts w:ascii="Calibri" w:hAnsi="Calibri"/>
          <w:b/>
          <w:color w:val="525866"/>
          <w:sz w:val="22"/>
        </w:rPr>
        <w:t>underperformed both XOP (-5% vs. -2%) and the S&amp;P 500 (+4%)</w:t>
      </w:r>
      <w:r>
        <w:rPr>
          <w:rFonts w:ascii="Calibri" w:hAnsi="Calibri"/>
          <w:color w:val="525866"/>
          <w:sz w:val="22"/>
        </w:rPr>
        <w:t xml:space="preserve"> since the Q1 earnings date, suggesting the market has not fully rewarded the operational momentum — a potential setup for a positive re-rating if Q2 execution is clean. The key wildcard is </w:t>
      </w:r>
      <w:r>
        <w:rPr>
          <w:rFonts w:ascii="Calibri" w:hAnsi="Calibri"/>
          <w:b/>
          <w:color w:val="525866"/>
          <w:sz w:val="22"/>
        </w:rPr>
        <w:t>Waha natural gas pricing</w:t>
      </w:r>
      <w:r>
        <w:rPr>
          <w:rFonts w:ascii="Calibri" w:hAnsi="Calibri"/>
          <w:color w:val="525866"/>
          <w:sz w:val="22"/>
        </w:rPr>
        <w:t>, which was deeply negative in Q2 and could weigh on realized revenue, though management noted strong financial and physical hedges that should limit the damage.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moderately high bar</w:t>
      </w:r>
      <w:r>
        <w:rPr>
          <w:rFonts w:ascii="Calibri" w:hAnsi="Calibri"/>
          <w:color w:val="525866"/>
          <w:sz w:val="22"/>
        </w:rPr>
        <w:t xml:space="preserve"> on oil production (~523 Mbpd) and EPS (~$5.96), but FANG has a strong beat history. </w:t>
      </w:r>
      <w:r>
        <w:rPr>
          <w:rFonts w:ascii="Calibri" w:hAnsi="Calibri"/>
          <w:b/>
          <w:color w:val="525866"/>
          <w:sz w:val="22"/>
        </w:rPr>
        <w:t>Oil production volume is the primary swing factor</w:t>
      </w:r>
      <w:r>
        <w:rPr>
          <w:rFonts w:ascii="Calibri" w:hAnsi="Calibri"/>
          <w:color w:val="525866"/>
          <w:sz w:val="22"/>
        </w:rPr>
        <w:t>; Waha gas pricing is the key risk to revenue.</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Oil Production (Mbpd)</w:t>
            </w:r>
          </w:p>
        </w:tc>
        <w:tc>
          <w:tcPr>
            <w:tcW w:type="dxa" w:w="1234"/>
          </w:tcPr>
          <w:p>
            <w:r>
              <w:rPr>
                <w:rFonts w:ascii="Calibri" w:hAnsi="Calibri"/>
                <w:sz w:val="22"/>
              </w:rPr>
              <w:t>520,989</w:t>
            </w:r>
          </w:p>
        </w:tc>
        <w:tc>
          <w:tcPr>
            <w:tcW w:type="dxa" w:w="1234"/>
          </w:tcPr>
          <w:p>
            <w:r>
              <w:rPr>
                <w:rFonts w:ascii="Calibri" w:hAnsi="Calibri"/>
                <w:sz w:val="22"/>
              </w:rPr>
              <w:t>495,692</w:t>
            </w:r>
          </w:p>
        </w:tc>
        <w:tc>
          <w:tcPr>
            <w:tcW w:type="dxa" w:w="1234"/>
          </w:tcPr>
          <w:p>
            <w:r>
              <w:rPr>
                <w:rFonts w:ascii="Calibri" w:hAnsi="Calibri"/>
                <w:sz w:val="22"/>
              </w:rPr>
              <w:t>523,457</w:t>
            </w:r>
          </w:p>
        </w:tc>
        <w:tc>
          <w:tcPr>
            <w:tcW w:type="dxa" w:w="1234"/>
          </w:tcPr>
          <w:p>
            <w:r>
              <w:rPr>
                <w:rFonts w:ascii="Calibri" w:hAnsi="Calibri"/>
                <w:b/>
                <w:color w:val="30A46C"/>
                <w:sz w:val="22"/>
              </w:rPr>
              <w:t>+5.6%</w:t>
            </w:r>
          </w:p>
        </w:tc>
        <w:tc>
          <w:tcPr>
            <w:tcW w:type="dxa" w:w="1234"/>
          </w:tcPr>
          <w:p>
            <w:r>
              <w:rPr>
                <w:rFonts w:ascii="Calibri" w:hAnsi="Calibri"/>
                <w:sz w:val="22"/>
              </w:rPr>
              <w:t>520+ Mbpd (FY baseline)</w:t>
            </w:r>
          </w:p>
        </w:tc>
        <w:tc>
          <w:tcPr>
            <w:tcW w:type="dxa" w:w="1234"/>
          </w:tcPr>
          <w:p>
            <w:r>
              <w:rPr>
                <w:rFonts w:ascii="Calibri" w:hAnsi="Calibri"/>
                <w:sz w:val="22"/>
              </w:rPr>
              <w:t>+0.7% above baseline</w:t>
            </w:r>
          </w:p>
        </w:tc>
      </w:tr>
      <w:tr>
        <w:tc>
          <w:tcPr>
            <w:tcW w:type="dxa" w:w="1234"/>
          </w:tcPr>
          <w:p>
            <w:r>
              <w:rPr>
                <w:rFonts w:ascii="Calibri" w:hAnsi="Calibri"/>
                <w:sz w:val="22"/>
              </w:rPr>
              <w:t>Total Revenue ($B)</w:t>
            </w:r>
          </w:p>
        </w:tc>
        <w:tc>
          <w:tcPr>
            <w:tcW w:type="dxa" w:w="1234"/>
          </w:tcPr>
          <w:p>
            <w:r>
              <w:rPr>
                <w:rFonts w:ascii="Calibri" w:hAnsi="Calibri"/>
                <w:sz w:val="22"/>
              </w:rPr>
              <w:t>$4.24B</w:t>
            </w:r>
          </w:p>
        </w:tc>
        <w:tc>
          <w:tcPr>
            <w:tcW w:type="dxa" w:w="1234"/>
          </w:tcPr>
          <w:p>
            <w:r>
              <w:rPr>
                <w:rFonts w:ascii="Calibri" w:hAnsi="Calibri"/>
                <w:sz w:val="22"/>
              </w:rPr>
              <w:t>$3.68B</w:t>
            </w:r>
          </w:p>
        </w:tc>
        <w:tc>
          <w:tcPr>
            <w:tcW w:type="dxa" w:w="1234"/>
          </w:tcPr>
          <w:p>
            <w:r>
              <w:rPr>
                <w:rFonts w:ascii="Calibri" w:hAnsi="Calibri"/>
                <w:sz w:val="22"/>
              </w:rPr>
              <w:t>$4.90B</w:t>
            </w:r>
          </w:p>
        </w:tc>
        <w:tc>
          <w:tcPr>
            <w:tcW w:type="dxa" w:w="1234"/>
          </w:tcPr>
          <w:p>
            <w:r>
              <w:rPr>
                <w:rFonts w:ascii="Calibri" w:hAnsi="Calibri"/>
                <w:b/>
                <w:color w:val="30A46C"/>
                <w:sz w:val="22"/>
              </w:rPr>
              <w:t>+33.2%</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Adj. EPS (Diluted, Operating)</w:t>
            </w:r>
          </w:p>
        </w:tc>
        <w:tc>
          <w:tcPr>
            <w:tcW w:type="dxa" w:w="1234"/>
          </w:tcPr>
          <w:p>
            <w:r>
              <w:rPr>
                <w:rFonts w:ascii="Calibri" w:hAnsi="Calibri"/>
                <w:sz w:val="22"/>
              </w:rPr>
              <w:t>$4.24</w:t>
            </w:r>
          </w:p>
        </w:tc>
        <w:tc>
          <w:tcPr>
            <w:tcW w:type="dxa" w:w="1234"/>
          </w:tcPr>
          <w:p>
            <w:r>
              <w:rPr>
                <w:rFonts w:ascii="Calibri" w:hAnsi="Calibri"/>
                <w:sz w:val="22"/>
              </w:rPr>
              <w:t>$2.69</w:t>
            </w:r>
          </w:p>
        </w:tc>
        <w:tc>
          <w:tcPr>
            <w:tcW w:type="dxa" w:w="1234"/>
          </w:tcPr>
          <w:p>
            <w:r>
              <w:rPr>
                <w:rFonts w:ascii="Calibri" w:hAnsi="Calibri"/>
                <w:sz w:val="22"/>
              </w:rPr>
              <w:t>$5.96</w:t>
            </w:r>
          </w:p>
        </w:tc>
        <w:tc>
          <w:tcPr>
            <w:tcW w:type="dxa" w:w="1234"/>
          </w:tcPr>
          <w:p>
            <w:r>
              <w:rPr>
                <w:rFonts w:ascii="Calibri" w:hAnsi="Calibri"/>
                <w:b/>
                <w:color w:val="30A46C"/>
                <w:sz w:val="22"/>
              </w:rPr>
              <w:t>+121.6%</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Adjusted EBITDA ($B)</w:t>
            </w:r>
          </w:p>
        </w:tc>
        <w:tc>
          <w:tcPr>
            <w:tcW w:type="dxa" w:w="1234"/>
          </w:tcPr>
          <w:p>
            <w:r>
              <w:rPr>
                <w:rFonts w:ascii="Calibri" w:hAnsi="Calibri"/>
                <w:sz w:val="22"/>
              </w:rPr>
              <w:t>$2.70B</w:t>
            </w:r>
          </w:p>
        </w:tc>
        <w:tc>
          <w:tcPr>
            <w:tcW w:type="dxa" w:w="1234"/>
          </w:tcPr>
          <w:p>
            <w:r>
              <w:rPr>
                <w:rFonts w:ascii="Calibri" w:hAnsi="Calibri"/>
                <w:sz w:val="22"/>
              </w:rPr>
              <w:t>$2.31B</w:t>
            </w:r>
          </w:p>
        </w:tc>
        <w:tc>
          <w:tcPr>
            <w:tcW w:type="dxa" w:w="1234"/>
          </w:tcPr>
          <w:p>
            <w:r>
              <w:rPr>
                <w:rFonts w:ascii="Calibri" w:hAnsi="Calibri"/>
                <w:sz w:val="22"/>
              </w:rPr>
              <w:t>$3.59B</w:t>
            </w:r>
          </w:p>
        </w:tc>
        <w:tc>
          <w:tcPr>
            <w:tcW w:type="dxa" w:w="1234"/>
          </w:tcPr>
          <w:p>
            <w:r>
              <w:rPr>
                <w:rFonts w:ascii="Calibri" w:hAnsi="Calibri"/>
                <w:b/>
                <w:color w:val="30A46C"/>
                <w:sz w:val="22"/>
              </w:rPr>
              <w:t>+55.4%</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Free Cash Flow ($B)</w:t>
            </w:r>
          </w:p>
        </w:tc>
        <w:tc>
          <w:tcPr>
            <w:tcW w:type="dxa" w:w="1234"/>
          </w:tcPr>
          <w:p>
            <w:r>
              <w:rPr>
                <w:rFonts w:ascii="Calibri" w:hAnsi="Calibri"/>
                <w:sz w:val="22"/>
              </w:rPr>
              <w:t>$1.42B</w:t>
            </w:r>
          </w:p>
        </w:tc>
        <w:tc>
          <w:tcPr>
            <w:tcW w:type="dxa" w:w="1234"/>
          </w:tcPr>
          <w:p>
            <w:r>
              <w:rPr>
                <w:rFonts w:ascii="Calibri" w:hAnsi="Calibri"/>
                <w:sz w:val="22"/>
              </w:rPr>
              <w:t>($0.12B)</w:t>
            </w:r>
          </w:p>
        </w:tc>
        <w:tc>
          <w:tcPr>
            <w:tcW w:type="dxa" w:w="1234"/>
          </w:tcPr>
          <w:p>
            <w:r>
              <w:rPr>
                <w:rFonts w:ascii="Calibri" w:hAnsi="Calibri"/>
                <w:sz w:val="22"/>
              </w:rPr>
              <w:t>$2.15B</w:t>
            </w:r>
          </w:p>
        </w:tc>
        <w:tc>
          <w:tcPr>
            <w:tcW w:type="dxa" w:w="1234"/>
          </w:tcPr>
          <w:p>
            <w:r>
              <w:rPr>
                <w:rFonts w:ascii="Calibri" w:hAnsi="Calibri"/>
                <w:sz w:val="22"/>
              </w:rPr>
              <w:t>N/M</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LOE per BOE ($/BOE)</w:t>
            </w:r>
          </w:p>
        </w:tc>
        <w:tc>
          <w:tcPr>
            <w:tcW w:type="dxa" w:w="1234"/>
          </w:tcPr>
          <w:p>
            <w:r>
              <w:rPr>
                <w:rFonts w:ascii="Calibri" w:hAnsi="Calibri"/>
                <w:sz w:val="22"/>
              </w:rPr>
              <w:t>$6.21</w:t>
            </w:r>
          </w:p>
        </w:tc>
        <w:tc>
          <w:tcPr>
            <w:tcW w:type="dxa" w:w="1234"/>
          </w:tcPr>
          <w:p>
            <w:r>
              <w:rPr>
                <w:rFonts w:ascii="Calibri" w:hAnsi="Calibri"/>
                <w:sz w:val="22"/>
              </w:rPr>
              <w:t>$5.26</w:t>
            </w:r>
          </w:p>
        </w:tc>
        <w:tc>
          <w:tcPr>
            <w:tcW w:type="dxa" w:w="1234"/>
          </w:tcPr>
          <w:p>
            <w:r>
              <w:rPr>
                <w:rFonts w:ascii="Calibri" w:hAnsi="Calibri"/>
                <w:sz w:val="22"/>
              </w:rPr>
              <w:t>$6.16</w:t>
            </w:r>
          </w:p>
        </w:tc>
        <w:tc>
          <w:tcPr>
            <w:tcW w:type="dxa" w:w="1234"/>
          </w:tcPr>
          <w:p>
            <w:r>
              <w:rPr>
                <w:rFonts w:ascii="Calibri" w:hAnsi="Calibri"/>
                <w:sz w:val="22"/>
              </w:rPr>
              <w:t>+17.1%</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Capex ($B)</w:t>
            </w:r>
          </w:p>
        </w:tc>
        <w:tc>
          <w:tcPr>
            <w:tcW w:type="dxa" w:w="1234"/>
          </w:tcPr>
          <w:p>
            <w:r>
              <w:rPr>
                <w:rFonts w:ascii="Calibri" w:hAnsi="Calibri"/>
                <w:sz w:val="22"/>
              </w:rPr>
              <w:t>$0.93B</w:t>
            </w:r>
          </w:p>
        </w:tc>
        <w:tc>
          <w:tcPr>
            <w:tcW w:type="dxa" w:w="1234"/>
          </w:tcPr>
          <w:p>
            <w:r>
              <w:rPr>
                <w:rFonts w:ascii="Calibri" w:hAnsi="Calibri"/>
                <w:sz w:val="22"/>
              </w:rPr>
              <w:t>$0.86B</w:t>
            </w:r>
          </w:p>
        </w:tc>
        <w:tc>
          <w:tcPr>
            <w:tcW w:type="dxa" w:w="1234"/>
          </w:tcPr>
          <w:p>
            <w:r>
              <w:rPr>
                <w:rFonts w:ascii="Calibri" w:hAnsi="Calibri"/>
                <w:sz w:val="22"/>
              </w:rPr>
              <w:t>$0.99B</w:t>
            </w:r>
          </w:p>
        </w:tc>
        <w:tc>
          <w:tcPr>
            <w:tcW w:type="dxa" w:w="1234"/>
          </w:tcPr>
          <w:p>
            <w:r>
              <w:rPr>
                <w:rFonts w:ascii="Calibri" w:hAnsi="Calibri"/>
                <w:sz w:val="22"/>
              </w:rPr>
              <w:t>+15.1%</w:t>
            </w:r>
          </w:p>
        </w:tc>
        <w:tc>
          <w:tcPr>
            <w:tcW w:type="dxa" w:w="1234"/>
          </w:tcPr>
          <w:p>
            <w:r>
              <w:rPr>
                <w:rFonts w:ascii="Calibri" w:hAnsi="Calibri"/>
                <w:sz w:val="22"/>
              </w:rPr>
              <w:t>Top end of prior range</w:t>
            </w:r>
          </w:p>
        </w:tc>
        <w:tc>
          <w:tcPr>
            <w:tcW w:type="dxa" w:w="1234"/>
          </w:tcPr>
          <w:p>
            <w:r>
              <w:rPr>
                <w:rFonts w:ascii="Calibri" w:hAnsi="Calibri"/>
                <w:sz w:val="22"/>
              </w:rPr>
              <w:t>~At guidance</w:t>
            </w:r>
          </w:p>
        </w:tc>
      </w:tr>
    </w:tbl>
    <w:p>
      <w:r>
        <w:rPr>
          <w:rFonts w:ascii="Calibri" w:hAnsi="Calibri"/>
          <w:i/>
          <w:color w:val="525866"/>
          <w:sz w:val="22"/>
        </w:rPr>
        <w:t xml:space="preserve">Note: </w:t>
      </w:r>
      <w:r>
        <w:rPr>
          <w:rFonts w:ascii="Calibri" w:hAnsi="Calibri"/>
          <w:i/>
          <w:color w:val="525866"/>
          <w:sz w:val="22"/>
        </w:rPr>
        <w:t>All consensus figures from Visible Alpha as of August 2, 2026. Q1 2026 and Q2 2025 actuals from Visible Alpha. Guidance baseline of 520+ Mbpd oil stated on Q1 2026 earnings call (May 5, 2026).</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Oil Production (Mbpd)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276,143</w:t>
            </w:r>
          </w:p>
        </w:tc>
        <w:tc>
          <w:tcPr>
            <w:tcW w:type="dxa" w:w="1728"/>
          </w:tcPr>
          <w:p>
            <w:r>
              <w:rPr>
                <w:rFonts w:ascii="Calibri" w:hAnsi="Calibri"/>
                <w:sz w:val="22"/>
              </w:rPr>
              <w:t>274,600</w:t>
            </w:r>
          </w:p>
        </w:tc>
        <w:tc>
          <w:tcPr>
            <w:tcW w:type="dxa" w:w="1728"/>
          </w:tcPr>
          <w:p>
            <w:r>
              <w:rPr>
                <w:rFonts w:ascii="Calibri" w:hAnsi="Calibri"/>
                <w:sz w:val="22"/>
              </w:rPr>
              <w:t>+0.6%</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321,054</w:t>
            </w:r>
          </w:p>
        </w:tc>
        <w:tc>
          <w:tcPr>
            <w:tcW w:type="dxa" w:w="1728"/>
          </w:tcPr>
          <w:p>
            <w:r>
              <w:rPr>
                <w:rFonts w:ascii="Calibri" w:hAnsi="Calibri"/>
                <w:sz w:val="22"/>
              </w:rPr>
              <w:t>313,586</w:t>
            </w:r>
          </w:p>
        </w:tc>
        <w:tc>
          <w:tcPr>
            <w:tcW w:type="dxa" w:w="1728"/>
          </w:tcPr>
          <w:p>
            <w:r>
              <w:rPr>
                <w:rFonts w:ascii="Calibri" w:hAnsi="Calibri"/>
                <w:sz w:val="22"/>
              </w:rPr>
              <w:t>+2.4%</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475,924</w:t>
            </w:r>
          </w:p>
        </w:tc>
        <w:tc>
          <w:tcPr>
            <w:tcW w:type="dxa" w:w="1728"/>
          </w:tcPr>
          <w:p>
            <w:r>
              <w:rPr>
                <w:rFonts w:ascii="Calibri" w:hAnsi="Calibri"/>
                <w:sz w:val="22"/>
              </w:rPr>
              <w:t>474,053</w:t>
            </w:r>
          </w:p>
        </w:tc>
        <w:tc>
          <w:tcPr>
            <w:tcW w:type="dxa" w:w="1728"/>
          </w:tcPr>
          <w:p>
            <w:r>
              <w:rPr>
                <w:rFonts w:ascii="Calibri" w:hAnsi="Calibri"/>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475,944</w:t>
            </w:r>
          </w:p>
        </w:tc>
        <w:tc>
          <w:tcPr>
            <w:tcW w:type="dxa" w:w="1728"/>
          </w:tcPr>
          <w:p>
            <w:r>
              <w:rPr>
                <w:rFonts w:ascii="Calibri" w:hAnsi="Calibri"/>
                <w:sz w:val="22"/>
              </w:rPr>
              <w:t>474,584</w:t>
            </w:r>
          </w:p>
        </w:tc>
        <w:tc>
          <w:tcPr>
            <w:tcW w:type="dxa" w:w="1728"/>
          </w:tcPr>
          <w:p>
            <w:r>
              <w:rPr>
                <w:rFonts w:ascii="Calibri" w:hAnsi="Calibri"/>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495,692</w:t>
            </w:r>
          </w:p>
        </w:tc>
        <w:tc>
          <w:tcPr>
            <w:tcW w:type="dxa" w:w="1728"/>
          </w:tcPr>
          <w:p>
            <w:r>
              <w:rPr>
                <w:rFonts w:ascii="Calibri" w:hAnsi="Calibri"/>
                <w:sz w:val="22"/>
              </w:rPr>
              <w:t>494,733</w:t>
            </w:r>
          </w:p>
        </w:tc>
        <w:tc>
          <w:tcPr>
            <w:tcW w:type="dxa" w:w="1728"/>
          </w:tcPr>
          <w:p>
            <w:r>
              <w:rPr>
                <w:rFonts w:ascii="Calibri" w:hAnsi="Calibri"/>
                <w:sz w:val="22"/>
              </w:rPr>
              <w:t>+0.2%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503,750</w:t>
            </w:r>
          </w:p>
        </w:tc>
        <w:tc>
          <w:tcPr>
            <w:tcW w:type="dxa" w:w="1728"/>
          </w:tcPr>
          <w:p>
            <w:r>
              <w:rPr>
                <w:rFonts w:ascii="Calibri" w:hAnsi="Calibri"/>
                <w:sz w:val="22"/>
              </w:rPr>
              <w:t>498,991</w:t>
            </w:r>
          </w:p>
        </w:tc>
        <w:tc>
          <w:tcPr>
            <w:tcW w:type="dxa" w:w="1728"/>
          </w:tcPr>
          <w:p>
            <w:r>
              <w:rPr>
                <w:rFonts w:ascii="Calibri" w:hAnsi="Calibri"/>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512,761</w:t>
            </w:r>
          </w:p>
        </w:tc>
        <w:tc>
          <w:tcPr>
            <w:tcW w:type="dxa" w:w="1728"/>
          </w:tcPr>
          <w:p>
            <w:r>
              <w:rPr>
                <w:rFonts w:ascii="Calibri" w:hAnsi="Calibri"/>
                <w:sz w:val="22"/>
              </w:rPr>
              <w:t>511,438</w:t>
            </w:r>
          </w:p>
        </w:tc>
        <w:tc>
          <w:tcPr>
            <w:tcW w:type="dxa" w:w="1728"/>
          </w:tcPr>
          <w:p>
            <w:r>
              <w:rPr>
                <w:rFonts w:ascii="Calibri" w:hAnsi="Calibri"/>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520,989</w:t>
            </w:r>
          </w:p>
        </w:tc>
        <w:tc>
          <w:tcPr>
            <w:tcW w:type="dxa" w:w="1728"/>
          </w:tcPr>
          <w:p>
            <w:r>
              <w:rPr>
                <w:rFonts w:ascii="Calibri" w:hAnsi="Calibri"/>
                <w:sz w:val="22"/>
              </w:rPr>
              <w:t>508,764</w:t>
            </w:r>
          </w:p>
        </w:tc>
        <w:tc>
          <w:tcPr>
            <w:tcW w:type="dxa" w:w="1728"/>
          </w:tcPr>
          <w:p>
            <w:r>
              <w:rPr>
                <w:rFonts w:ascii="Calibri" w:hAnsi="Calibri"/>
                <w:sz w:val="22"/>
              </w:rPr>
              <w:t>+2.4%</w:t>
            </w:r>
          </w:p>
        </w:tc>
        <w:tc>
          <w:tcPr>
            <w:tcW w:type="dxa" w:w="1728"/>
          </w:tcPr>
          <w:p>
            <w:r>
              <w:rPr>
                <w:rFonts w:ascii="Calibri" w:hAnsi="Calibri"/>
                <w:b/>
                <w:color w:val="30A46C"/>
                <w:sz w:val="22"/>
              </w:rPr>
              <w:t>Beat</w:t>
            </w:r>
          </w:p>
        </w:tc>
      </w:tr>
    </w:tbl>
    <w:p>
      <w:pPr>
        <w:pStyle w:val="Heading4"/>
      </w:pPr>
      <w:r>
        <w:rPr>
          <w:rFonts w:ascii="Calibri" w:hAnsi="Calibri"/>
          <w:b/>
          <w:color w:val="3B4259"/>
          <w:sz w:val="22"/>
        </w:rPr>
        <w:t>Adj. EPS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$4.56</w:t>
            </w:r>
          </w:p>
        </w:tc>
        <w:tc>
          <w:tcPr>
            <w:tcW w:type="dxa" w:w="1728"/>
          </w:tcPr>
          <w:p>
            <w:r>
              <w:rPr>
                <w:rFonts w:ascii="Calibri" w:hAnsi="Calibri"/>
                <w:sz w:val="22"/>
              </w:rPr>
              <w:t>$4.46</w:t>
            </w:r>
          </w:p>
        </w:tc>
        <w:tc>
          <w:tcPr>
            <w:tcW w:type="dxa" w:w="1728"/>
          </w:tcPr>
          <w:p>
            <w:r>
              <w:rPr>
                <w:rFonts w:ascii="Calibri" w:hAnsi="Calibri"/>
                <w:sz w:val="22"/>
              </w:rPr>
              <w:t>+2.3%</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$3.38</w:t>
            </w:r>
          </w:p>
        </w:tc>
        <w:tc>
          <w:tcPr>
            <w:tcW w:type="dxa" w:w="1728"/>
          </w:tcPr>
          <w:p>
            <w:r>
              <w:rPr>
                <w:rFonts w:ascii="Calibri" w:hAnsi="Calibri"/>
                <w:sz w:val="22"/>
              </w:rPr>
              <w:t>$3.99</w:t>
            </w:r>
          </w:p>
        </w:tc>
        <w:tc>
          <w:tcPr>
            <w:tcW w:type="dxa" w:w="1728"/>
          </w:tcPr>
          <w:p>
            <w:r>
              <w:rPr>
                <w:rFonts w:ascii="Calibri" w:hAnsi="Calibri"/>
                <w:sz w:val="22"/>
              </w:rPr>
              <w:t>-15.3%</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$3.64</w:t>
            </w:r>
          </w:p>
        </w:tc>
        <w:tc>
          <w:tcPr>
            <w:tcW w:type="dxa" w:w="1728"/>
          </w:tcPr>
          <w:p>
            <w:r>
              <w:rPr>
                <w:rFonts w:ascii="Calibri" w:hAnsi="Calibri"/>
                <w:sz w:val="22"/>
              </w:rPr>
              <w:t>$3.34</w:t>
            </w:r>
          </w:p>
        </w:tc>
        <w:tc>
          <w:tcPr>
            <w:tcW w:type="dxa" w:w="1728"/>
          </w:tcPr>
          <w:p>
            <w:r>
              <w:rPr>
                <w:rFonts w:ascii="Calibri" w:hAnsi="Calibri"/>
                <w:sz w:val="22"/>
              </w:rPr>
              <w:t>+9.0%</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$4.56</w:t>
            </w:r>
          </w:p>
        </w:tc>
        <w:tc>
          <w:tcPr>
            <w:tcW w:type="dxa" w:w="1728"/>
          </w:tcPr>
          <w:p>
            <w:r>
              <w:rPr>
                <w:rFonts w:ascii="Calibri" w:hAnsi="Calibri"/>
                <w:sz w:val="22"/>
              </w:rPr>
              <w:t>$4.16</w:t>
            </w:r>
          </w:p>
        </w:tc>
        <w:tc>
          <w:tcPr>
            <w:tcW w:type="dxa" w:w="1728"/>
          </w:tcPr>
          <w:p>
            <w:r>
              <w:rPr>
                <w:rFonts w:ascii="Calibri" w:hAnsi="Calibri"/>
                <w:sz w:val="22"/>
              </w:rPr>
              <w:t>+9.6%</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$2.69</w:t>
            </w:r>
          </w:p>
        </w:tc>
        <w:tc>
          <w:tcPr>
            <w:tcW w:type="dxa" w:w="1728"/>
          </w:tcPr>
          <w:p>
            <w:r>
              <w:rPr>
                <w:rFonts w:ascii="Calibri" w:hAnsi="Calibri"/>
                <w:sz w:val="22"/>
              </w:rPr>
              <w:t>$2.71</w:t>
            </w:r>
          </w:p>
        </w:tc>
        <w:tc>
          <w:tcPr>
            <w:tcW w:type="dxa" w:w="1728"/>
          </w:tcPr>
          <w:p>
            <w:r>
              <w:rPr>
                <w:rFonts w:ascii="Calibri" w:hAnsi="Calibri"/>
                <w:sz w:val="22"/>
              </w:rPr>
              <w:t>-0.7%</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$3.08</w:t>
            </w:r>
          </w:p>
        </w:tc>
        <w:tc>
          <w:tcPr>
            <w:tcW w:type="dxa" w:w="1728"/>
          </w:tcPr>
          <w:p>
            <w:r>
              <w:rPr>
                <w:rFonts w:ascii="Calibri" w:hAnsi="Calibri"/>
                <w:sz w:val="22"/>
              </w:rPr>
              <w:t>$2.90</w:t>
            </w:r>
          </w:p>
        </w:tc>
        <w:tc>
          <w:tcPr>
            <w:tcW w:type="dxa" w:w="1728"/>
          </w:tcPr>
          <w:p>
            <w:r>
              <w:rPr>
                <w:rFonts w:ascii="Calibri" w:hAnsi="Calibri"/>
                <w:sz w:val="22"/>
              </w:rPr>
              <w:t>+6.0%</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$1.74</w:t>
            </w:r>
          </w:p>
        </w:tc>
        <w:tc>
          <w:tcPr>
            <w:tcW w:type="dxa" w:w="1728"/>
          </w:tcPr>
          <w:p>
            <w:r>
              <w:rPr>
                <w:rFonts w:ascii="Calibri" w:hAnsi="Calibri"/>
                <w:sz w:val="22"/>
              </w:rPr>
              <w:t>$2.01</w:t>
            </w:r>
          </w:p>
        </w:tc>
        <w:tc>
          <w:tcPr>
            <w:tcW w:type="dxa" w:w="1728"/>
          </w:tcPr>
          <w:p>
            <w:r>
              <w:rPr>
                <w:rFonts w:ascii="Calibri" w:hAnsi="Calibri"/>
                <w:sz w:val="22"/>
              </w:rPr>
              <w:t>-13.4%</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$4.24</w:t>
            </w:r>
          </w:p>
        </w:tc>
        <w:tc>
          <w:tcPr>
            <w:tcW w:type="dxa" w:w="1728"/>
          </w:tcPr>
          <w:p>
            <w:r>
              <w:rPr>
                <w:rFonts w:ascii="Calibri" w:hAnsi="Calibri"/>
                <w:sz w:val="22"/>
              </w:rPr>
              <w:t>$3.60</w:t>
            </w:r>
          </w:p>
        </w:tc>
        <w:tc>
          <w:tcPr>
            <w:tcW w:type="dxa" w:w="1728"/>
          </w:tcPr>
          <w:p>
            <w:r>
              <w:rPr>
                <w:rFonts w:ascii="Calibri" w:hAnsi="Calibri"/>
                <w:sz w:val="22"/>
              </w:rPr>
              <w:t>+17.8%</w:t>
            </w:r>
          </w:p>
        </w:tc>
        <w:tc>
          <w:tcPr>
            <w:tcW w:type="dxa" w:w="1728"/>
          </w:tcPr>
          <w:p>
            <w:r>
              <w:rPr>
                <w:rFonts w:ascii="Calibri" w:hAnsi="Calibri"/>
                <w:b/>
                <w:color w:val="30A46C"/>
                <w:sz w:val="22"/>
              </w:rPr>
              <w:t>Beat</w:t>
            </w:r>
          </w:p>
        </w:tc>
      </w:tr>
    </w:tbl>
    <w:p>
      <w:r>
        <w:rPr>
          <w:rFonts w:ascii="Calibri" w:hAnsi="Calibri"/>
          <w:i/>
          <w:color w:val="525866"/>
          <w:sz w:val="22"/>
        </w:rPr>
        <w:t xml:space="preserve">FANG has beaten oil production consensus in all 8 of the last 8 quarters, with an average surprise of +0.9%. EPS beats are less consistent (5 beats, 3 misses), with misses typically driven by </w:t>
      </w:r>
      <w:r>
        <w:rPr>
          <w:rFonts w:ascii="Calibri" w:hAnsi="Calibri"/>
          <w:b/>
          <w:i/>
          <w:color w:val="525866"/>
          <w:sz w:val="22"/>
        </w:rPr>
        <w:t>commodity price realizations</w:t>
      </w:r>
      <w:r>
        <w:rPr>
          <w:rFonts w:ascii="Calibri" w:hAnsi="Calibri"/>
          <w:i/>
          <w:color w:val="525866"/>
          <w:sz w:val="22"/>
        </w:rPr>
        <w:t xml:space="preserve"> rather than operational shortfalls.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No formal Q2-specific guidance was provided; the key post-Q1 development is the </w:t>
      </w:r>
      <w:r>
        <w:rPr>
          <w:rFonts w:ascii="Calibri" w:hAnsi="Calibri"/>
          <w:b/>
          <w:color w:val="525866"/>
          <w:sz w:val="22"/>
        </w:rPr>
        <w:t>"green light" activity ramp</w:t>
      </w:r>
      <w:r>
        <w:rPr>
          <w:rFonts w:ascii="Calibri" w:hAnsi="Calibri"/>
          <w:color w:val="525866"/>
          <w:sz w:val="22"/>
        </w:rPr>
        <w:t xml:space="preserve"> (adding 2-3 rigs and a 5th frac crew) and the raised FY oil production baseline to </w:t>
      </w:r>
      <w:r>
        <w:rPr>
          <w:rFonts w:ascii="Calibri" w:hAnsi="Calibri"/>
          <w:b/>
          <w:color w:val="525866"/>
          <w:sz w:val="22"/>
        </w:rPr>
        <w:t>520+ Mbpd</w:t>
      </w:r>
      <w:r>
        <w:rPr>
          <w:rFonts w:ascii="Calibri" w:hAnsi="Calibri"/>
          <w:color w:val="525866"/>
          <w:sz w:val="22"/>
        </w:rPr>
        <w:t>. No post-earnings guidance revisions were issued via 8-K or conference.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Oil Production</w:t>
            </w:r>
          </w:p>
        </w:tc>
        <w:tc>
          <w:tcPr>
            <w:tcW w:type="dxa" w:w="1728"/>
          </w:tcPr>
          <w:p>
            <w:r>
              <w:rPr>
                <w:rFonts w:ascii="Calibri" w:hAnsi="Calibri"/>
                <w:sz w:val="22"/>
              </w:rPr>
              <w:t>520+ Mbpd baseline; "if outperforming, hold activity and produce more"</w:t>
            </w:r>
          </w:p>
        </w:tc>
        <w:tc>
          <w:tcPr>
            <w:tcW w:type="dxa" w:w="1728"/>
          </w:tcPr>
          <w:p>
            <w:r>
              <w:rPr>
                <w:rFonts w:ascii="Calibri" w:hAnsi="Calibri"/>
                <w:sz w:val="22"/>
              </w:rPr>
              <w:t>—</w:t>
            </w:r>
          </w:p>
        </w:tc>
        <w:tc>
          <w:tcPr>
            <w:tcW w:type="dxa" w:w="1728"/>
          </w:tcPr>
          <w:p>
            <w:r>
              <w:rPr>
                <w:rFonts w:ascii="Calibri" w:hAnsi="Calibri"/>
                <w:sz w:val="22"/>
              </w:rPr>
              <w:t>524,784 Mbpd</w:t>
            </w:r>
          </w:p>
        </w:tc>
        <w:tc>
          <w:tcPr>
            <w:tcW w:type="dxa" w:w="1728"/>
          </w:tcPr>
          <w:p>
            <w:r>
              <w:rPr>
                <w:rFonts w:ascii="Calibri" w:hAnsi="Calibri"/>
                <w:sz w:val="22"/>
              </w:rPr>
              <w:t>Raised from prior flat-production posture; "green light" ramp adds 20-30 wells for the year</w:t>
            </w:r>
          </w:p>
        </w:tc>
      </w:tr>
      <w:tr>
        <w:tc>
          <w:tcPr>
            <w:tcW w:type="dxa" w:w="1728"/>
          </w:tcPr>
          <w:p>
            <w:r>
              <w:rPr>
                <w:rFonts w:ascii="Calibri" w:hAnsi="Calibri"/>
                <w:sz w:val="22"/>
              </w:rPr>
              <w:t>FY 2026 Capex</w:t>
            </w:r>
          </w:p>
        </w:tc>
        <w:tc>
          <w:tcPr>
            <w:tcW w:type="dxa" w:w="1728"/>
          </w:tcPr>
          <w:p>
            <w:r>
              <w:rPr>
                <w:rFonts w:ascii="Calibri" w:hAnsi="Calibri"/>
                <w:sz w:val="22"/>
              </w:rPr>
              <w:t>Top end of prior guidance range</w:t>
            </w:r>
          </w:p>
        </w:tc>
        <w:tc>
          <w:tcPr>
            <w:tcW w:type="dxa" w:w="1728"/>
          </w:tcPr>
          <w:p>
            <w:r>
              <w:rPr>
                <w:rFonts w:ascii="Calibri" w:hAnsi="Calibri"/>
                <w:sz w:val="22"/>
              </w:rPr>
              <w:t>—</w:t>
            </w:r>
          </w:p>
        </w:tc>
        <w:tc>
          <w:tcPr>
            <w:tcW w:type="dxa" w:w="1728"/>
          </w:tcPr>
          <w:p>
            <w:r>
              <w:rPr>
                <w:rFonts w:ascii="Calibri" w:hAnsi="Calibri"/>
                <w:sz w:val="22"/>
              </w:rPr>
              <w:t>$3.94B</w:t>
            </w:r>
          </w:p>
        </w:tc>
        <w:tc>
          <w:tcPr>
            <w:tcW w:type="dxa" w:w="1728"/>
          </w:tcPr>
          <w:p>
            <w:r>
              <w:rPr>
                <w:rFonts w:ascii="Calibri" w:hAnsi="Calibri"/>
                <w:sz w:val="22"/>
              </w:rPr>
              <w:t>Driven by 2-3 rig additions and 5th frac crew; Barnett JV acceleration</w:t>
            </w:r>
          </w:p>
        </w:tc>
      </w:tr>
      <w:tr>
        <w:tc>
          <w:tcPr>
            <w:tcW w:type="dxa" w:w="1728"/>
          </w:tcPr>
          <w:p>
            <w:r>
              <w:rPr>
                <w:rFonts w:ascii="Calibri" w:hAnsi="Calibri"/>
                <w:sz w:val="22"/>
              </w:rPr>
              <w:t>FY 2026 FCF</w:t>
            </w:r>
          </w:p>
        </w:tc>
        <w:tc>
          <w:tcPr>
            <w:tcW w:type="dxa" w:w="1728"/>
          </w:tcPr>
          <w:p>
            <w:r>
              <w:rPr>
                <w:rFonts w:ascii="Calibri" w:hAnsi="Calibri"/>
                <w:sz w:val="22"/>
              </w:rPr>
              <w:t>"More FCF per share at any oil price above $60"</w:t>
            </w:r>
          </w:p>
        </w:tc>
        <w:tc>
          <w:tcPr>
            <w:tcW w:type="dxa" w:w="1728"/>
          </w:tcPr>
          <w:p>
            <w:r>
              <w:rPr>
                <w:rFonts w:ascii="Calibri" w:hAnsi="Calibri"/>
                <w:sz w:val="22"/>
              </w:rPr>
              <w:t>—</w:t>
            </w:r>
          </w:p>
        </w:tc>
        <w:tc>
          <w:tcPr>
            <w:tcW w:type="dxa" w:w="1728"/>
          </w:tcPr>
          <w:p>
            <w:r>
              <w:rPr>
                <w:rFonts w:ascii="Calibri" w:hAnsi="Calibri"/>
                <w:sz w:val="22"/>
              </w:rPr>
              <w:t>$6.74B</w:t>
            </w:r>
          </w:p>
        </w:tc>
        <w:tc>
          <w:tcPr>
            <w:tcW w:type="dxa" w:w="1728"/>
          </w:tcPr>
          <w:p>
            <w:r>
              <w:rPr>
                <w:rFonts w:ascii="Calibri" w:hAnsi="Calibri"/>
                <w:sz w:val="22"/>
              </w:rPr>
              <w:t>Reinvestment rate fell to ~34% even after adding activity</w:t>
            </w:r>
          </w:p>
        </w:tc>
      </w:tr>
      <w:tr>
        <w:tc>
          <w:tcPr>
            <w:tcW w:type="dxa" w:w="1728"/>
          </w:tcPr>
          <w:p>
            <w:r>
              <w:rPr>
                <w:rFonts w:ascii="Calibri" w:hAnsi="Calibri"/>
                <w:sz w:val="22"/>
              </w:rPr>
              <w:t>Net Debt Target</w:t>
            </w:r>
          </w:p>
        </w:tc>
        <w:tc>
          <w:tcPr>
            <w:tcW w:type="dxa" w:w="1728"/>
          </w:tcPr>
          <w:p>
            <w:r>
              <w:rPr>
                <w:rFonts w:ascii="Calibri" w:hAnsi="Calibri"/>
                <w:sz w:val="22"/>
              </w:rPr>
              <w:t>$10B target "a couple of months from now"</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Accelerated deleveraging; gross debt reduction (calling $750M '26 notes) expected in Q4</w:t>
            </w:r>
          </w:p>
        </w:tc>
      </w:tr>
      <w:tr>
        <w:tc>
          <w:tcPr>
            <w:tcW w:type="dxa" w:w="1728"/>
          </w:tcPr>
          <w:p>
            <w:r>
              <w:rPr>
                <w:rFonts w:ascii="Calibri" w:hAnsi="Calibri"/>
                <w:sz w:val="22"/>
              </w:rPr>
              <w:t>Waha Gas Exposure</w:t>
            </w:r>
          </w:p>
        </w:tc>
        <w:tc>
          <w:tcPr>
            <w:tcW w:type="dxa" w:w="1728"/>
          </w:tcPr>
          <w:p>
            <w:r>
              <w:rPr>
                <w:rFonts w:ascii="Calibri" w:hAnsi="Calibri"/>
                <w:sz w:val="22"/>
              </w:rPr>
              <w:t>"Well protected with financial and physical hedges"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Waha deeply negative in Q2; hedges limit revenue impact; APA curtailed 137 MMcf/d in Q2</w:t>
            </w:r>
          </w:p>
        </w:tc>
      </w:tr>
      <w:tr>
        <w:tc>
          <w:tcPr>
            <w:tcW w:type="dxa" w:w="1728"/>
          </w:tcPr>
          <w:p>
            <w:r>
              <w:rPr>
                <w:rFonts w:ascii="Calibri" w:hAnsi="Calibri"/>
                <w:sz w:val="22"/>
              </w:rPr>
              <w:t>Lateral Footage (FY)</w:t>
            </w:r>
          </w:p>
        </w:tc>
        <w:tc>
          <w:tcPr>
            <w:tcW w:type="dxa" w:w="1728"/>
          </w:tcPr>
          <w:p>
            <w:r>
              <w:rPr>
                <w:rFonts w:ascii="Calibri" w:hAnsi="Calibri"/>
                <w:sz w:val="22"/>
              </w:rPr>
              <w:t>6.2M lateral feet; 1.5-1.6M per quarter in H2; avg. 12,900 ft per well</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Q1 avg. lateral was ~11,500 ft; H2 wells expected to be materially longer</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w:t>
      </w:r>
      <w:r>
        <w:rPr>
          <w:rFonts w:ascii="Calibri" w:hAnsi="Calibri"/>
          <w:b/>
          <w:color w:val="525866"/>
          <w:sz w:val="22"/>
        </w:rPr>
        <w:t>sharply higher since the Q1 print</w:t>
      </w:r>
      <w:r>
        <w:rPr>
          <w:rFonts w:ascii="Calibri" w:hAnsi="Calibri"/>
          <w:color w:val="525866"/>
          <w:sz w:val="22"/>
        </w:rPr>
        <w:t xml:space="preserve"> — Q2 EPS consensus is up ~3.8% and FCF up ~2.7% from the post-Q1 baseline, tracking well above the initial guidance tone. The gap between current consensus and the 520+ Mbpd production baseline is thin, leaving </w:t>
      </w:r>
      <w:r>
        <w:rPr>
          <w:rFonts w:ascii="Calibri" w:hAnsi="Calibri"/>
          <w:b/>
          <w:color w:val="525866"/>
          <w:sz w:val="22"/>
        </w:rPr>
        <w:t>limited room for error on volume</w:t>
      </w:r>
      <w:r>
        <w:rPr>
          <w:rFonts w:ascii="Calibri" w:hAnsi="Calibri"/>
          <w:color w:val="525866"/>
          <w:sz w:val="22"/>
        </w:rPr>
        <w: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Period</w:t>
            </w:r>
          </w:p>
        </w:tc>
        <w:tc>
          <w:tcPr>
            <w:tcW w:type="dxa" w:w="1234"/>
            <w:shd w:val="clear" w:color="auto" w:fill="3B4259"/>
          </w:tcPr>
          <w:p>
            <w:r>
              <w:rPr>
                <w:rFonts w:ascii="Calibri" w:hAnsi="Calibri"/>
                <w:b/>
                <w:color w:val="FFFFFF"/>
                <w:sz w:val="22"/>
              </w:rPr>
              <w:t>Estimate ~May 10, 2026 (Post-Q1 Baseline)</w:t>
            </w:r>
          </w:p>
        </w:tc>
        <w:tc>
          <w:tcPr>
            <w:tcW w:type="dxa" w:w="1234"/>
            <w:shd w:val="clear" w:color="auto" w:fill="3B4259"/>
          </w:tcPr>
          <w:p>
            <w:r>
              <w:rPr>
                <w:rFonts w:ascii="Calibri" w:hAnsi="Calibri"/>
                <w:b/>
                <w:color w:val="FFFFFF"/>
                <w:sz w:val="22"/>
              </w:rPr>
              <w:t>Current Consensus</w:t>
            </w:r>
          </w:p>
        </w:tc>
        <w:tc>
          <w:tcPr>
            <w:tcW w:type="dxa" w:w="1234"/>
            <w:shd w:val="clear" w:color="auto" w:fill="3B4259"/>
          </w:tcPr>
          <w:p>
            <w:r>
              <w:rPr>
                <w:rFonts w:ascii="Calibri" w:hAnsi="Calibri"/>
                <w:b/>
                <w:color w:val="FFFFFF"/>
                <w:sz w:val="22"/>
              </w:rPr>
              <w:t>Estimate Δ (%)</w:t>
            </w:r>
          </w:p>
        </w:tc>
        <w:tc>
          <w:tcPr>
            <w:tcW w:type="dxa" w:w="1234"/>
            <w:shd w:val="clear" w:color="auto" w:fill="3B4259"/>
          </w:tcPr>
          <w:p>
            <w:r>
              <w:rPr>
                <w:rFonts w:ascii="Calibri" w:hAnsi="Calibri"/>
                <w:b/>
                <w:color w:val="FFFFFF"/>
                <w:sz w:val="22"/>
              </w:rPr>
              <w:t>Initial Guidance (Q1 Call)</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Oil Production (Mbpd)</w:t>
            </w:r>
          </w:p>
        </w:tc>
        <w:tc>
          <w:tcPr>
            <w:tcW w:type="dxa" w:w="1234"/>
          </w:tcPr>
          <w:p>
            <w:r>
              <w:rPr>
                <w:rFonts w:ascii="Calibri" w:hAnsi="Calibri"/>
                <w:sz w:val="22"/>
              </w:rPr>
              <w:t>Q2 2026</w:t>
            </w:r>
          </w:p>
        </w:tc>
        <w:tc>
          <w:tcPr>
            <w:tcW w:type="dxa" w:w="1234"/>
          </w:tcPr>
          <w:p>
            <w:r>
              <w:rPr>
                <w:rFonts w:ascii="Calibri" w:hAnsi="Calibri"/>
                <w:sz w:val="22"/>
              </w:rPr>
              <w:t>522,108</w:t>
            </w:r>
          </w:p>
        </w:tc>
        <w:tc>
          <w:tcPr>
            <w:tcW w:type="dxa" w:w="1234"/>
          </w:tcPr>
          <w:p>
            <w:r>
              <w:rPr>
                <w:rFonts w:ascii="Calibri" w:hAnsi="Calibri"/>
                <w:sz w:val="22"/>
              </w:rPr>
              <w:t>523,457</w:t>
            </w:r>
          </w:p>
        </w:tc>
        <w:tc>
          <w:tcPr>
            <w:tcW w:type="dxa" w:w="1234"/>
          </w:tcPr>
          <w:p>
            <w:r>
              <w:rPr>
                <w:rFonts w:ascii="Calibri" w:hAnsi="Calibri"/>
                <w:b/>
                <w:color w:val="30A46C"/>
                <w:sz w:val="22"/>
              </w:rPr>
              <w:t>+0.3%</w:t>
            </w:r>
          </w:p>
        </w:tc>
        <w:tc>
          <w:tcPr>
            <w:tcW w:type="dxa" w:w="1234"/>
          </w:tcPr>
          <w:p>
            <w:r>
              <w:rPr>
                <w:rFonts w:ascii="Calibri" w:hAnsi="Calibri"/>
                <w:sz w:val="22"/>
              </w:rPr>
              <w:t>520+ Mbpd baseline</w:t>
            </w:r>
          </w:p>
        </w:tc>
        <w:tc>
          <w:tcPr>
            <w:tcW w:type="dxa" w:w="1234"/>
          </w:tcPr>
          <w:p>
            <w:r>
              <w:rPr>
                <w:rFonts w:ascii="Calibri" w:hAnsi="Calibri"/>
                <w:sz w:val="22"/>
              </w:rPr>
              <w:t>+0.7% above baseline</w:t>
            </w:r>
          </w:p>
        </w:tc>
      </w:tr>
      <w:tr>
        <w:tc>
          <w:tcPr>
            <w:tcW w:type="dxa" w:w="1234"/>
          </w:tcPr>
          <w:p>
            <w:r>
              <w:rPr>
                <w:rFonts w:ascii="Calibri" w:hAnsi="Calibri"/>
                <w:sz w:val="22"/>
              </w:rPr>
              <w:t>Oil Production (Mbpd)</w:t>
            </w:r>
          </w:p>
        </w:tc>
        <w:tc>
          <w:tcPr>
            <w:tcW w:type="dxa" w:w="1234"/>
          </w:tcPr>
          <w:p>
            <w:r>
              <w:rPr>
                <w:rFonts w:ascii="Calibri" w:hAnsi="Calibri"/>
                <w:sz w:val="22"/>
              </w:rPr>
              <w:t>FY 2026</w:t>
            </w:r>
          </w:p>
        </w:tc>
        <w:tc>
          <w:tcPr>
            <w:tcW w:type="dxa" w:w="1234"/>
          </w:tcPr>
          <w:p>
            <w:r>
              <w:rPr>
                <w:rFonts w:ascii="Calibri" w:hAnsi="Calibri"/>
                <w:sz w:val="22"/>
              </w:rPr>
              <w:t>523,644</w:t>
            </w:r>
          </w:p>
        </w:tc>
        <w:tc>
          <w:tcPr>
            <w:tcW w:type="dxa" w:w="1234"/>
          </w:tcPr>
          <w:p>
            <w:r>
              <w:rPr>
                <w:rFonts w:ascii="Calibri" w:hAnsi="Calibri"/>
                <w:sz w:val="22"/>
              </w:rPr>
              <w:t>524,784</w:t>
            </w:r>
          </w:p>
        </w:tc>
        <w:tc>
          <w:tcPr>
            <w:tcW w:type="dxa" w:w="1234"/>
          </w:tcPr>
          <w:p>
            <w:r>
              <w:rPr>
                <w:rFonts w:ascii="Calibri" w:hAnsi="Calibri"/>
                <w:b/>
                <w:color w:val="30A46C"/>
                <w:sz w:val="22"/>
              </w:rPr>
              <w:t>+0.2%</w:t>
            </w:r>
          </w:p>
        </w:tc>
        <w:tc>
          <w:tcPr>
            <w:tcW w:type="dxa" w:w="1234"/>
          </w:tcPr>
          <w:p>
            <w:r>
              <w:rPr>
                <w:rFonts w:ascii="Calibri" w:hAnsi="Calibri"/>
                <w:sz w:val="22"/>
              </w:rPr>
              <w:t>520+ Mbpd baseline</w:t>
            </w:r>
          </w:p>
        </w:tc>
        <w:tc>
          <w:tcPr>
            <w:tcW w:type="dxa" w:w="1234"/>
          </w:tcPr>
          <w:p>
            <w:r>
              <w:rPr>
                <w:rFonts w:ascii="Calibri" w:hAnsi="Calibri"/>
                <w:sz w:val="22"/>
              </w:rPr>
              <w:t>+0.9% above baseline</w:t>
            </w:r>
          </w:p>
        </w:tc>
      </w:tr>
      <w:tr>
        <w:tc>
          <w:tcPr>
            <w:tcW w:type="dxa" w:w="1234"/>
          </w:tcPr>
          <w:p>
            <w:r>
              <w:rPr>
                <w:rFonts w:ascii="Calibri" w:hAnsi="Calibri"/>
                <w:sz w:val="22"/>
              </w:rPr>
              <w:t>Adj. EPS</w:t>
            </w:r>
          </w:p>
        </w:tc>
        <w:tc>
          <w:tcPr>
            <w:tcW w:type="dxa" w:w="1234"/>
          </w:tcPr>
          <w:p>
            <w:r>
              <w:rPr>
                <w:rFonts w:ascii="Calibri" w:hAnsi="Calibri"/>
                <w:sz w:val="22"/>
              </w:rPr>
              <w:t>Q2 2026</w:t>
            </w:r>
          </w:p>
        </w:tc>
        <w:tc>
          <w:tcPr>
            <w:tcW w:type="dxa" w:w="1234"/>
          </w:tcPr>
          <w:p>
            <w:r>
              <w:rPr>
                <w:rFonts w:ascii="Calibri" w:hAnsi="Calibri"/>
                <w:sz w:val="22"/>
              </w:rPr>
              <w:t>$5.74</w:t>
            </w:r>
          </w:p>
        </w:tc>
        <w:tc>
          <w:tcPr>
            <w:tcW w:type="dxa" w:w="1234"/>
          </w:tcPr>
          <w:p>
            <w:r>
              <w:rPr>
                <w:rFonts w:ascii="Calibri" w:hAnsi="Calibri"/>
                <w:sz w:val="22"/>
              </w:rPr>
              <w:t>$5.96</w:t>
            </w:r>
          </w:p>
        </w:tc>
        <w:tc>
          <w:tcPr>
            <w:tcW w:type="dxa" w:w="1234"/>
          </w:tcPr>
          <w:p>
            <w:r>
              <w:rPr>
                <w:rFonts w:ascii="Calibri" w:hAnsi="Calibri"/>
                <w:b/>
                <w:color w:val="30A46C"/>
                <w:sz w:val="22"/>
              </w:rPr>
              <w:t>+3.8%</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Adj. EPS</w:t>
            </w:r>
          </w:p>
        </w:tc>
        <w:tc>
          <w:tcPr>
            <w:tcW w:type="dxa" w:w="1234"/>
          </w:tcPr>
          <w:p>
            <w:r>
              <w:rPr>
                <w:rFonts w:ascii="Calibri" w:hAnsi="Calibri"/>
                <w:sz w:val="22"/>
              </w:rPr>
              <w:t>FY 2026</w:t>
            </w:r>
          </w:p>
        </w:tc>
        <w:tc>
          <w:tcPr>
            <w:tcW w:type="dxa" w:w="1234"/>
          </w:tcPr>
          <w:p>
            <w:r>
              <w:rPr>
                <w:rFonts w:ascii="Calibri" w:hAnsi="Calibri"/>
                <w:sz w:val="22"/>
              </w:rPr>
              <w:t>$16.57</w:t>
            </w:r>
          </w:p>
        </w:tc>
        <w:tc>
          <w:tcPr>
            <w:tcW w:type="dxa" w:w="1234"/>
          </w:tcPr>
          <w:p>
            <w:r>
              <w:rPr>
                <w:rFonts w:ascii="Calibri" w:hAnsi="Calibri"/>
                <w:sz w:val="22"/>
              </w:rPr>
              <w:t>$18.38</w:t>
            </w:r>
          </w:p>
        </w:tc>
        <w:tc>
          <w:tcPr>
            <w:tcW w:type="dxa" w:w="1234"/>
          </w:tcPr>
          <w:p>
            <w:r>
              <w:rPr>
                <w:rFonts w:ascii="Calibri" w:hAnsi="Calibri"/>
                <w:b/>
                <w:color w:val="30A46C"/>
                <w:sz w:val="22"/>
              </w:rPr>
              <w:t>+10.9%</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Total Revenue</w:t>
            </w:r>
          </w:p>
        </w:tc>
        <w:tc>
          <w:tcPr>
            <w:tcW w:type="dxa" w:w="1234"/>
          </w:tcPr>
          <w:p>
            <w:r>
              <w:rPr>
                <w:rFonts w:ascii="Calibri" w:hAnsi="Calibri"/>
                <w:sz w:val="22"/>
              </w:rPr>
              <w:t>Q2 2026</w:t>
            </w:r>
          </w:p>
        </w:tc>
        <w:tc>
          <w:tcPr>
            <w:tcW w:type="dxa" w:w="1234"/>
          </w:tcPr>
          <w:p>
            <w:r>
              <w:rPr>
                <w:rFonts w:ascii="Calibri" w:hAnsi="Calibri"/>
                <w:sz w:val="22"/>
              </w:rPr>
              <w:t>$4.73B</w:t>
            </w:r>
          </w:p>
        </w:tc>
        <w:tc>
          <w:tcPr>
            <w:tcW w:type="dxa" w:w="1234"/>
          </w:tcPr>
          <w:p>
            <w:r>
              <w:rPr>
                <w:rFonts w:ascii="Calibri" w:hAnsi="Calibri"/>
                <w:sz w:val="22"/>
              </w:rPr>
              <w:t>$4.90B</w:t>
            </w:r>
          </w:p>
        </w:tc>
        <w:tc>
          <w:tcPr>
            <w:tcW w:type="dxa" w:w="1234"/>
          </w:tcPr>
          <w:p>
            <w:r>
              <w:rPr>
                <w:rFonts w:ascii="Calibri" w:hAnsi="Calibri"/>
                <w:b/>
                <w:color w:val="30A46C"/>
                <w:sz w:val="22"/>
              </w:rPr>
              <w:t>+3.6%</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Total Revenue</w:t>
            </w:r>
          </w:p>
        </w:tc>
        <w:tc>
          <w:tcPr>
            <w:tcW w:type="dxa" w:w="1234"/>
          </w:tcPr>
          <w:p>
            <w:r>
              <w:rPr>
                <w:rFonts w:ascii="Calibri" w:hAnsi="Calibri"/>
                <w:sz w:val="22"/>
              </w:rPr>
              <w:t>FY 2026</w:t>
            </w:r>
          </w:p>
        </w:tc>
        <w:tc>
          <w:tcPr>
            <w:tcW w:type="dxa" w:w="1234"/>
          </w:tcPr>
          <w:p>
            <w:r>
              <w:rPr>
                <w:rFonts w:ascii="Calibri" w:hAnsi="Calibri"/>
                <w:sz w:val="22"/>
              </w:rPr>
              <w:t>$17.53B</w:t>
            </w:r>
          </w:p>
        </w:tc>
        <w:tc>
          <w:tcPr>
            <w:tcW w:type="dxa" w:w="1234"/>
          </w:tcPr>
          <w:p>
            <w:r>
              <w:rPr>
                <w:rFonts w:ascii="Calibri" w:hAnsi="Calibri"/>
                <w:sz w:val="22"/>
              </w:rPr>
              <w:t>$17.62B</w:t>
            </w:r>
          </w:p>
        </w:tc>
        <w:tc>
          <w:tcPr>
            <w:tcW w:type="dxa" w:w="1234"/>
          </w:tcPr>
          <w:p>
            <w:r>
              <w:rPr>
                <w:rFonts w:ascii="Calibri" w:hAnsi="Calibri"/>
                <w:b/>
                <w:color w:val="30A46C"/>
                <w:sz w:val="22"/>
              </w:rPr>
              <w:t>+0.5%</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Free Cash Flow</w:t>
            </w:r>
          </w:p>
        </w:tc>
        <w:tc>
          <w:tcPr>
            <w:tcW w:type="dxa" w:w="1234"/>
          </w:tcPr>
          <w:p>
            <w:r>
              <w:rPr>
                <w:rFonts w:ascii="Calibri" w:hAnsi="Calibri"/>
                <w:sz w:val="22"/>
              </w:rPr>
              <w:t>Q2 2026</w:t>
            </w:r>
          </w:p>
        </w:tc>
        <w:tc>
          <w:tcPr>
            <w:tcW w:type="dxa" w:w="1234"/>
          </w:tcPr>
          <w:p>
            <w:r>
              <w:rPr>
                <w:rFonts w:ascii="Calibri" w:hAnsi="Calibri"/>
                <w:sz w:val="22"/>
              </w:rPr>
              <w:t>$2.09B</w:t>
            </w:r>
          </w:p>
        </w:tc>
        <w:tc>
          <w:tcPr>
            <w:tcW w:type="dxa" w:w="1234"/>
          </w:tcPr>
          <w:p>
            <w:r>
              <w:rPr>
                <w:rFonts w:ascii="Calibri" w:hAnsi="Calibri"/>
                <w:sz w:val="22"/>
              </w:rPr>
              <w:t>$2.15B</w:t>
            </w:r>
          </w:p>
        </w:tc>
        <w:tc>
          <w:tcPr>
            <w:tcW w:type="dxa" w:w="1234"/>
          </w:tcPr>
          <w:p>
            <w:r>
              <w:rPr>
                <w:rFonts w:ascii="Calibri" w:hAnsi="Calibri"/>
                <w:b/>
                <w:color w:val="30A46C"/>
                <w:sz w:val="22"/>
              </w:rPr>
              <w:t>+2.7%</w:t>
            </w:r>
          </w:p>
        </w:tc>
        <w:tc>
          <w:tcPr>
            <w:tcW w:type="dxa" w:w="1234"/>
          </w:tcPr>
          <w:p>
            <w:r>
              <w:rPr>
                <w:rFonts w:ascii="Calibri" w:hAnsi="Calibri"/>
                <w:sz w:val="22"/>
              </w:rPr>
              <w:t>"More FCF per share above $60 oil"</w:t>
            </w:r>
          </w:p>
        </w:tc>
        <w:tc>
          <w:tcPr>
            <w:tcW w:type="dxa" w:w="1234"/>
          </w:tcPr>
          <w:p>
            <w:r>
              <w:rPr>
                <w:rFonts w:ascii="Calibri" w:hAnsi="Calibri"/>
                <w:sz w:val="22"/>
              </w:rPr>
              <w:t>Tracking above</w:t>
            </w:r>
          </w:p>
        </w:tc>
      </w:tr>
      <w:tr>
        <w:tc>
          <w:tcPr>
            <w:tcW w:type="dxa" w:w="1234"/>
          </w:tcPr>
          <w:p>
            <w:r>
              <w:rPr>
                <w:rFonts w:ascii="Calibri" w:hAnsi="Calibri"/>
                <w:sz w:val="22"/>
              </w:rPr>
              <w:t>Free Cash Flow</w:t>
            </w:r>
          </w:p>
        </w:tc>
        <w:tc>
          <w:tcPr>
            <w:tcW w:type="dxa" w:w="1234"/>
          </w:tcPr>
          <w:p>
            <w:r>
              <w:rPr>
                <w:rFonts w:ascii="Calibri" w:hAnsi="Calibri"/>
                <w:sz w:val="22"/>
              </w:rPr>
              <w:t>FY 2026</w:t>
            </w:r>
          </w:p>
        </w:tc>
        <w:tc>
          <w:tcPr>
            <w:tcW w:type="dxa" w:w="1234"/>
          </w:tcPr>
          <w:p>
            <w:r>
              <w:rPr>
                <w:rFonts w:ascii="Calibri" w:hAnsi="Calibri"/>
                <w:sz w:val="22"/>
              </w:rPr>
              <w:t>$6.74B</w:t>
            </w:r>
          </w:p>
        </w:tc>
        <w:tc>
          <w:tcPr>
            <w:tcW w:type="dxa" w:w="1234"/>
          </w:tcPr>
          <w:p>
            <w:r>
              <w:rPr>
                <w:rFonts w:ascii="Calibri" w:hAnsi="Calibri"/>
                <w:sz w:val="22"/>
              </w:rPr>
              <w:t>$6.74B</w:t>
            </w:r>
          </w:p>
        </w:tc>
        <w:tc>
          <w:tcPr>
            <w:tcW w:type="dxa" w:w="1234"/>
          </w:tcPr>
          <w:p>
            <w:r>
              <w:rPr>
                <w:rFonts w:ascii="Calibri" w:hAnsi="Calibri"/>
                <w:sz w:val="22"/>
              </w:rPr>
              <w:t>0.0%</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 xml:space="preserve">Note: </w:t>
      </w:r>
      <w:r>
        <w:rPr>
          <w:rFonts w:ascii="Calibri" w:hAnsi="Calibri"/>
          <w:i/>
          <w:color w:val="525866"/>
          <w:sz w:val="22"/>
        </w:rPr>
        <w:t>"Estimate ~May 10, 2026" = consensus as of approximately 5 trading days after the May 5, 2026 Q1 earnings call. All figures from Visible Alpha.</w:t>
      </w:r>
    </w:p>
    <w:p>
      <w:r>
        <w:rPr>
          <w:rFonts w:ascii="Calibri" w:hAnsi="Calibri"/>
          <w:color w:val="525866"/>
          <w:sz w:val="22"/>
        </w:rPr>
        <w:t>The sharp upward revision in FY EPS (+10.9%) reflects both the higher oil price environment (WTI averaged ~$92.85/bbl in Q2 per EOG's 8-K) and the production ramp from the "green light" framework. The Q2 production estimate of 523 Mbpd sits only 0.7% above the 520+ Mbpd baseline, suggesting limited cushion if DUC drawdown execution or well performance disappointed.</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FANG has </w:t>
      </w:r>
      <w:r>
        <w:rPr>
          <w:rFonts w:ascii="Calibri" w:hAnsi="Calibri"/>
          <w:b/>
          <w:color w:val="525866"/>
          <w:sz w:val="22"/>
        </w:rPr>
        <w:t>underperformed both XOP (-5% vs. -2%) and the S&amp;P 500 (+4%)</w:t>
      </w:r>
      <w:r>
        <w:rPr>
          <w:rFonts w:ascii="Calibri" w:hAnsi="Calibri"/>
          <w:color w:val="525866"/>
          <w:sz w:val="22"/>
        </w:rPr>
        <w:t xml:space="preserve"> since the Q1 earnings date, despite strong operational execution — suggesting the market is discounting commodity price uncertainty over FANG's structural advantages. The underperformance vs. XOP is notable and may represent a </w:t>
      </w:r>
      <w:r>
        <w:rPr>
          <w:rFonts w:ascii="Calibri" w:hAnsi="Calibri"/>
          <w:b/>
          <w:color w:val="525866"/>
          <w:sz w:val="22"/>
        </w:rPr>
        <w:t>re-rating opportunity</w:t>
      </w:r>
      <w:r>
        <w:rPr>
          <w:rFonts w:ascii="Calibri" w:hAnsi="Calibri"/>
          <w:color w:val="525866"/>
          <w:sz w:val="22"/>
        </w:rPr>
        <w:t xml:space="preserve"> if Q2 execution is clean.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FANG vs XOP (E&amp;P ETF) vs S&amp;P 500 — Indexed Performance Since Q1 2026 Earnings (May 4, 2026). Base = 100. Source: Yahoo Finance.</w:t>
      </w:r>
    </w:p>
    <w:p>
      <w:pPr>
        <w:pStyle w:val="ListBullet"/>
        <w:ind w:left="360" w:hanging="360"/>
      </w:pPr>
      <w:r>
        <w:rPr>
          <w:rFonts w:ascii="Calibri" w:hAnsi="Calibri"/>
          <w:b/>
          <w:color w:val="525866"/>
          <w:sz w:val="22"/>
        </w:rPr>
        <w:t>FANG</w:t>
      </w:r>
      <w:r>
        <w:rPr>
          <w:rFonts w:ascii="Calibri" w:hAnsi="Calibri"/>
          <w:color w:val="525866"/>
          <w:sz w:val="22"/>
        </w:rPr>
        <w:t xml:space="preserve"> opened at $213.69 on May 4, 2026 (Q1 earnings day) and closed at $202.95 on August 1, 2026, a decline of </w:t>
      </w:r>
      <w:r>
        <w:rPr>
          <w:rFonts w:ascii="Calibri" w:hAnsi="Calibri"/>
          <w:b/>
          <w:color w:val="E5484D"/>
          <w:sz w:val="22"/>
        </w:rPr>
        <w:t>-5.0%</w:t>
      </w:r>
      <w:r>
        <w:rPr>
          <w:rFonts w:ascii="Calibri" w:hAnsi="Calibri"/>
          <w:color w:val="525866"/>
          <w:sz w:val="22"/>
        </w:rPr>
        <w:t xml:space="preserve"> (indexed to 95.0)</w:t>
      </w:r>
    </w:p>
    <w:p>
      <w:pPr>
        <w:pStyle w:val="ListBullet"/>
        <w:ind w:left="360" w:hanging="360"/>
      </w:pPr>
      <w:r>
        <w:rPr>
          <w:rFonts w:ascii="Calibri" w:hAnsi="Calibri"/>
          <w:b/>
          <w:color w:val="525866"/>
          <w:sz w:val="22"/>
        </w:rPr>
        <w:t>XOP</w:t>
      </w:r>
      <w:r>
        <w:rPr>
          <w:rFonts w:ascii="Calibri" w:hAnsi="Calibri"/>
          <w:color w:val="525866"/>
          <w:sz w:val="22"/>
        </w:rPr>
        <w:t xml:space="preserve"> declined -2.0% over the same period (indexed to 98.0), outperforming FANG by ~3 percentage points</w:t>
      </w:r>
    </w:p>
    <w:p>
      <w:pPr>
        <w:pStyle w:val="ListBullet"/>
        <w:ind w:left="360" w:hanging="360"/>
      </w:pPr>
      <w:r>
        <w:rPr>
          <w:rFonts w:ascii="Calibri" w:hAnsi="Calibri"/>
          <w:b/>
          <w:color w:val="525866"/>
          <w:sz w:val="22"/>
        </w:rPr>
        <w:t>SPY</w:t>
      </w:r>
      <w:r>
        <w:rPr>
          <w:rFonts w:ascii="Calibri" w:hAnsi="Calibri"/>
          <w:color w:val="525866"/>
          <w:sz w:val="22"/>
        </w:rPr>
        <w:t xml:space="preserve"> gained +4.0% over the same period (indexed to 104.0), outperforming FANG by ~9 percentage points</w:t>
      </w:r>
    </w:p>
    <w:p>
      <w:pPr>
        <w:pStyle w:val="ListBullet"/>
        <w:ind w:left="360" w:hanging="360"/>
      </w:pPr>
      <w:r>
        <w:rPr>
          <w:rFonts w:ascii="Calibri" w:hAnsi="Calibri"/>
          <w:b/>
          <w:color w:val="525866"/>
          <w:sz w:val="22"/>
        </w:rPr>
        <w:t>FANG hit a trough of ~$171.96 on July 1, 2026</w:t>
      </w:r>
      <w:r>
        <w:rPr>
          <w:rFonts w:ascii="Calibri" w:hAnsi="Calibri"/>
          <w:color w:val="525866"/>
          <w:sz w:val="22"/>
        </w:rPr>
        <w:t xml:space="preserve"> (indexed to ~80.5), coinciding with the Viper Energy $337M acquisition announcement and broader oil price weakness</w:t>
      </w:r>
    </w:p>
    <w:p>
      <w:pPr>
        <w:pStyle w:val="ListBullet"/>
        <w:ind w:left="360" w:hanging="360"/>
      </w:pPr>
      <w:r>
        <w:rPr>
          <w:rFonts w:ascii="Calibri" w:hAnsi="Calibri"/>
          <w:b/>
          <w:color w:val="525866"/>
          <w:sz w:val="22"/>
        </w:rPr>
        <w:t>FANG has recovered ~18% from its July 1 trough</w:t>
      </w:r>
      <w:r>
        <w:rPr>
          <w:rFonts w:ascii="Calibri" w:hAnsi="Calibri"/>
          <w:color w:val="525866"/>
          <w:sz w:val="22"/>
        </w:rPr>
        <w:t>, suggesting improving sentiment as oil prices stabilized and the activity ramp narrative gained traction</w:t>
      </w:r>
    </w:p>
    <w:p>
      <w:pPr>
        <w:pStyle w:val="ListBullet"/>
        <w:ind w:left="360" w:hanging="360"/>
      </w:pPr>
      <w:r>
        <w:rPr>
          <w:rFonts w:ascii="Calibri" w:hAnsi="Calibri"/>
          <w:b/>
          <w:color w:val="525866"/>
          <w:sz w:val="22"/>
        </w:rPr>
        <w:t xml:space="preserve">Sector ETF: </w:t>
      </w:r>
      <w:r>
        <w:rPr>
          <w:rFonts w:ascii="Calibri" w:hAnsi="Calibri"/>
          <w:color w:val="525866"/>
          <w:sz w:val="22"/>
        </w:rPr>
        <w:t>XOP (SPDR S&amp;P Oil &amp; Gas Exploration &amp; Production ETF) — the most appropriate benchmark for FANG's E&amp;P sub-sector</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post-Q1 development is the </w:t>
      </w:r>
      <w:r>
        <w:rPr>
          <w:rFonts w:ascii="Calibri" w:hAnsi="Calibri"/>
          <w:b/>
          <w:color w:val="525866"/>
          <w:sz w:val="22"/>
        </w:rPr>
        <w:t>"green light" activity ramp</w:t>
      </w:r>
      <w:r>
        <w:rPr>
          <w:rFonts w:ascii="Calibri" w:hAnsi="Calibri"/>
          <w:color w:val="525866"/>
          <w:sz w:val="22"/>
        </w:rPr>
        <w:t xml:space="preserve"> announced on the Q1 call — adding 2-3 rigs and a 5th frac crew — which sets a higher production trajectory for H2 2026. </w:t>
      </w:r>
      <w:r>
        <w:rPr>
          <w:rFonts w:ascii="Calibri" w:hAnsi="Calibri"/>
          <w:b/>
          <w:color w:val="525866"/>
          <w:sz w:val="22"/>
        </w:rPr>
        <w:t>Viper Energy's $337M bolt-on acquisition</w:t>
      </w:r>
      <w:r>
        <w:rPr>
          <w:rFonts w:ascii="Calibri" w:hAnsi="Calibri"/>
          <w:color w:val="525866"/>
          <w:sz w:val="22"/>
        </w:rPr>
        <w:t xml:space="preserve"> is a secondary positive for royalty income.</w:t>
      </w:r>
    </w:p>
    <w:p>
      <w:pPr>
        <w:pStyle w:val="ListBullet"/>
        <w:ind w:left="360" w:hanging="360"/>
      </w:pPr>
      <w:r>
        <w:rPr>
          <w:rFonts w:ascii="Calibri" w:hAnsi="Calibri"/>
          <w:b/>
          <w:color w:val="525866"/>
          <w:sz w:val="22"/>
        </w:rPr>
        <w:t>May 5, 2026 — "Green Light" Activity Ramp Announced (Q1 Earnings Call):</w:t>
      </w:r>
      <w:r>
        <w:rPr>
          <w:rFonts w:ascii="Calibri" w:hAnsi="Calibri"/>
          <w:color w:val="525866"/>
          <w:sz w:val="22"/>
        </w:rPr>
        <w:t xml:space="preserve"> Management shifted from "yellow light" to "green light" framework, adding 2-3 rigs and a 5th frac crew in response to the Middle East oil supply disruption. Full-year oil production baseline raised to 520+ Mbpd. Reinvestment rate fell to ~34% even after adding activity. </w:t>
      </w:r>
      <w:r>
        <w:rPr>
          <w:rFonts w:ascii="Calibri" w:hAnsi="Calibri"/>
          <w:i/>
          <w:color w:val="525866"/>
          <w:sz w:val="22"/>
        </w:rPr>
        <w:t>Implication:</w:t>
      </w:r>
      <w:r>
        <w:rPr>
          <w:rFonts w:ascii="Calibri" w:hAnsi="Calibri"/>
          <w:i/>
          <w:color w:val="525866"/>
          <w:sz w:val="22"/>
        </w:rPr>
        <w:t xml:space="preserve"> Sets a higher H2 production trajectory; key question is whether the DUC drawdown in Q2 executed as planned.</w:t>
      </w:r>
    </w:p>
    <w:p>
      <w:pPr>
        <w:pStyle w:val="ListBullet"/>
        <w:ind w:left="360" w:hanging="360"/>
      </w:pPr>
      <w:r>
        <w:rPr>
          <w:rFonts w:ascii="Calibri" w:hAnsi="Calibri"/>
          <w:b/>
          <w:color w:val="525866"/>
          <w:sz w:val="22"/>
        </w:rPr>
        <w:t>May 5, 2026 — Accelerated Debt Reduction Target:</w:t>
      </w:r>
      <w:r>
        <w:rPr>
          <w:rFonts w:ascii="Calibri" w:hAnsi="Calibri"/>
          <w:color w:val="525866"/>
          <w:sz w:val="22"/>
        </w:rPr>
        <w:t xml:space="preserve"> CFO Jere Thompson stated the $10B net debt target would be reached "a couple of months from now" (i.e., by ~July 2026), ahead of the prior 12-18 month timeline. Gross debt reduction (calling $750M '26 notes) expected in Q4. </w:t>
      </w:r>
      <w:r>
        <w:rPr>
          <w:rFonts w:ascii="Calibri" w:hAnsi="Calibri"/>
          <w:i/>
          <w:color w:val="525866"/>
          <w:sz w:val="22"/>
        </w:rPr>
        <w:t>Implication:</w:t>
      </w:r>
      <w:r>
        <w:rPr>
          <w:rFonts w:ascii="Calibri" w:hAnsi="Calibri"/>
          <w:i/>
          <w:color w:val="525866"/>
          <w:sz w:val="22"/>
        </w:rPr>
        <w:t xml:space="preserve"> Balance sheet flexibility improving faster than expected; could support increased shareholder returns in H2.</w:t>
      </w:r>
    </w:p>
    <w:p>
      <w:pPr>
        <w:pStyle w:val="ListBullet"/>
        <w:ind w:left="360" w:hanging="360"/>
      </w:pPr>
      <w:r>
        <w:rPr>
          <w:rFonts w:ascii="Calibri" w:hAnsi="Calibri"/>
          <w:b/>
          <w:color w:val="525866"/>
          <w:sz w:val="22"/>
        </w:rPr>
        <w:t>July 1, 2026 — Viper Energy Completes $337M Acquisition of Riverbend Oil &amp; Gas IX Mineral and Royalty Interests:</w:t>
      </w:r>
      <w:r>
        <w:rPr>
          <w:rFonts w:ascii="Calibri" w:hAnsi="Calibri"/>
          <w:color w:val="525866"/>
          <w:sz w:val="22"/>
        </w:rPr>
        <w:t xml:space="preserve"> Viper Energy (VNOM), FANG's publicly traded royalty subsidiary, completed the bolt-on acquisition. </w:t>
      </w:r>
      <w:r>
        <w:rPr>
          <w:rFonts w:ascii="Calibri" w:hAnsi="Calibri"/>
          <w:i/>
          <w:color w:val="525866"/>
          <w:sz w:val="22"/>
        </w:rPr>
        <w:t>Implication:</w:t>
      </w:r>
      <w:r>
        <w:rPr>
          <w:rFonts w:ascii="Calibri" w:hAnsi="Calibri"/>
          <w:i/>
          <w:color w:val="525866"/>
          <w:sz w:val="22"/>
        </w:rPr>
        <w:t xml:space="preserve"> Incremental royalty income for Viper; modest positive for FANG's consolidated results.</w:t>
      </w:r>
    </w:p>
    <w:p>
      <w:pPr>
        <w:pStyle w:val="ListBullet"/>
        <w:ind w:left="360" w:hanging="360"/>
      </w:pPr>
      <w:r>
        <w:rPr>
          <w:rFonts w:ascii="Calibri" w:hAnsi="Calibri"/>
          <w:b/>
          <w:color w:val="525866"/>
          <w:sz w:val="22"/>
        </w:rPr>
        <w:t>June 30, 2026 — Q2 2026 Earnings Call Scheduled for August 4, 2026:</w:t>
      </w:r>
      <w:r>
        <w:rPr>
          <w:rFonts w:ascii="Calibri" w:hAnsi="Calibri"/>
          <w:color w:val="525866"/>
          <w:sz w:val="22"/>
        </w:rPr>
        <w:t xml:space="preserve"> FANG confirmed the earnings date and conference call schedule. No pre-announcement or guidance update was issued.</w:t>
      </w:r>
    </w:p>
    <w:p>
      <w:pPr>
        <w:pStyle w:val="ListBullet"/>
        <w:ind w:left="360" w:hanging="360"/>
      </w:pPr>
      <w:r>
        <w:rPr>
          <w:rFonts w:ascii="Calibri" w:hAnsi="Calibri"/>
          <w:b/>
          <w:color w:val="525866"/>
          <w:sz w:val="22"/>
        </w:rPr>
        <w:t>June 2026 — CEO and Multiple Insiders Sell Shares:</w:t>
      </w:r>
      <w:r>
        <w:rPr>
          <w:rFonts w:ascii="Calibri" w:hAnsi="Calibri"/>
          <w:color w:val="525866"/>
          <w:sz w:val="22"/>
        </w:rPr>
        <w:t xml:space="preserve"> CEO Kaes Van't Hof sold 15,000 shares on June 3, 2026 (disclosed June 4). Multiple other executives and directors also sold shares in May-June 2026. See Insider Transaction section for details.</w:t>
      </w:r>
    </w:p>
    <w:p>
      <w:pPr>
        <w:pStyle w:val="ListBullet"/>
        <w:ind w:left="360" w:hanging="360"/>
      </w:pPr>
      <w:r>
        <w:rPr>
          <w:rFonts w:ascii="Calibri" w:hAnsi="Calibri"/>
          <w:b/>
          <w:color w:val="525866"/>
          <w:sz w:val="22"/>
        </w:rPr>
        <w:t>Q2 2026 Macro Context — WTI Averaged ~$92.85/bbl:</w:t>
      </w:r>
      <w:r>
        <w:rPr>
          <w:rFonts w:ascii="Calibri" w:hAnsi="Calibri"/>
          <w:color w:val="525866"/>
          <w:sz w:val="22"/>
        </w:rPr>
        <w:t xml:space="preserve"> Per EOG's 8-K filed July 9, 2026, WTI averaged $92.85/bbl in Q2 2026 — a significant tailwind vs. Q2 2025. </w:t>
      </w:r>
      <w:r>
        <w:rPr>
          <w:rFonts w:ascii="Calibri" w:hAnsi="Calibri"/>
          <w:b/>
          <w:color w:val="525866"/>
          <w:sz w:val="22"/>
        </w:rPr>
        <w:t>Waha natural gas prices were deeply negative in Q2</w:t>
      </w:r>
      <w:r>
        <w:rPr>
          <w:rFonts w:ascii="Calibri" w:hAnsi="Calibri"/>
          <w:color w:val="525866"/>
          <w:sz w:val="22"/>
        </w:rPr>
        <w:t>, but FANG noted strong financial and physical hedges.</w:t>
      </w:r>
    </w:p>
    <w:p>
      <w:pPr>
        <w:pStyle w:val="ListBullet"/>
        <w:ind w:left="360" w:hanging="360"/>
      </w:pPr>
      <w:r>
        <w:rPr>
          <w:rFonts w:ascii="Calibri" w:hAnsi="Calibri"/>
          <w:b/>
          <w:color w:val="525866"/>
          <w:sz w:val="22"/>
        </w:rPr>
        <w:t>Q2 2026 — Oilfield Services Tightening:</w:t>
      </w:r>
      <w:r>
        <w:rPr>
          <w:rFonts w:ascii="Calibri" w:hAnsi="Calibri"/>
          <w:color w:val="525866"/>
          <w:sz w:val="22"/>
        </w:rPr>
        <w:t xml:space="preserve"> Multiple OFS companies (PTEN, PUMP, LBRT) reported that </w:t>
      </w:r>
      <w:r>
        <w:rPr>
          <w:rFonts w:ascii="Calibri" w:hAnsi="Calibri"/>
          <w:b/>
          <w:color w:val="525866"/>
          <w:sz w:val="22"/>
        </w:rPr>
        <w:t>next-generation natural gas-burning frac fleets are "effectively sold out" industry-wide</w:t>
      </w:r>
      <w:r>
        <w:rPr>
          <w:rFonts w:ascii="Calibri" w:hAnsi="Calibri"/>
          <w:color w:val="525866"/>
          <w:sz w:val="22"/>
        </w:rPr>
        <w:t>, and rig pricing on new contracts increased 10-15% vs. Q1. FANG's 5th frac crew (Halliburton e-fleet simul-frac) was already contracted, limiting exposure to spot market tightness.</w:t>
      </w:r>
    </w:p>
    <w:p>
      <w:r>
        <w:br w:type="page"/>
      </w:r>
    </w:p>
    <w:p>
      <w:pPr>
        <w:pStyle w:val="Heading2"/>
      </w:pPr>
      <w:r>
        <w:rPr>
          <w:rFonts w:ascii="Calibri" w:hAnsi="Calibri"/>
          <w:b/>
          <w:color w:val="3B4259"/>
          <w:sz w:val="28"/>
        </w:rPr>
        <w:t>7. Peer Commentaries — Q2 2026 Read-Through</w:t>
      </w:r>
    </w:p>
    <w:p>
      <w:r>
        <w:rPr>
          <w:rFonts w:ascii="Calibri" w:hAnsi="Calibri"/>
          <w:b/>
          <w:color w:val="525866"/>
          <w:sz w:val="22"/>
        </w:rPr>
        <w:t xml:space="preserve">Key Takeaway: </w:t>
      </w:r>
      <w:r>
        <w:rPr>
          <w:rFonts w:ascii="Calibri" w:hAnsi="Calibri"/>
          <w:color w:val="525866"/>
          <w:sz w:val="22"/>
        </w:rPr>
        <w:t xml:space="preserve">Peer and OFS commentary from the last 60 days is </w:t>
      </w:r>
      <w:r>
        <w:rPr>
          <w:rFonts w:ascii="Calibri" w:hAnsi="Calibri"/>
          <w:b/>
          <w:color w:val="525866"/>
          <w:sz w:val="22"/>
        </w:rPr>
        <w:t>broadly constructive for FANG's Q2 print</w:t>
      </w:r>
      <w:r>
        <w:rPr>
          <w:rFonts w:ascii="Calibri" w:hAnsi="Calibri"/>
          <w:color w:val="525866"/>
          <w:sz w:val="22"/>
        </w:rPr>
        <w:t xml:space="preserve"> — Permian activity is accelerating, next-gen frac equipment is sold out (FANG's 5th crew was pre-contracted), and WTI averaged ~$92.85/bbl in Q2. The key risk flagged by peers is </w:t>
      </w:r>
      <w:r>
        <w:rPr>
          <w:rFonts w:ascii="Calibri" w:hAnsi="Calibri"/>
          <w:b/>
          <w:color w:val="525866"/>
          <w:sz w:val="22"/>
        </w:rPr>
        <w:t>Waha gas pricing</w:t>
      </w:r>
      <w:r>
        <w:rPr>
          <w:rFonts w:ascii="Calibri" w:hAnsi="Calibri"/>
          <w:color w:val="525866"/>
          <w:sz w:val="22"/>
        </w:rPr>
        <w:t>, which APA confirmed was deeply negative enough to force curtailments.</w:t>
      </w:r>
    </w:p>
    <w:p>
      <w:r>
        <w:rPr>
          <w:rFonts w:ascii="Calibri" w:hAnsi="Calibri"/>
          <w:b/>
          <w:i/>
          <w:color w:val="525866"/>
          <w:sz w:val="22"/>
        </w:rPr>
        <w:t xml:space="preserve">Note: </w:t>
      </w:r>
      <w:r>
        <w:rPr>
          <w:rFonts w:ascii="Calibri" w:hAnsi="Calibri"/>
          <w:i/>
          <w:color w:val="525866"/>
          <w:sz w:val="22"/>
        </w:rPr>
        <w:t>The following commentary is sourced from Q2 2026 earnings calls and filings from peers and OFS companies reported in the last 60 days. All commentary pertains to Q2 2026 conditions or forward-looking statements about H2 2026.</w:t>
      </w:r>
    </w:p>
    <w:p>
      <w:pPr>
        <w:pStyle w:val="Heading3"/>
      </w:pPr>
      <w:r>
        <w:rPr>
          <w:rFonts w:ascii="Calibri" w:hAnsi="Calibri"/>
          <w:b/>
          <w:color w:val="3B4259"/>
          <w:sz w:val="24"/>
        </w:rPr>
        <w:t>Oilfield Services — Activity &amp; Pricing Read-Through</w:t>
      </w:r>
    </w:p>
    <w:p>
      <w:pPr>
        <w:pStyle w:val="Heading4"/>
      </w:pPr>
      <w:r>
        <w:rPr>
          <w:rFonts w:ascii="Calibri" w:hAnsi="Calibri"/>
          <w:b/>
          <w:color w:val="3B4259"/>
          <w:sz w:val="22"/>
        </w:rPr>
        <w:t>ProPetro Holding (PUMP) — Q2 2026 Earnings Call (July 29, 2026)</w:t>
      </w:r>
    </w:p>
    <w:p>
      <w:pPr>
        <w:pStyle w:val="ListBullet"/>
        <w:ind w:left="360" w:hanging="360"/>
      </w:pPr>
      <w:r>
        <w:rPr>
          <w:rFonts w:ascii="Calibri" w:hAnsi="Calibri"/>
          <w:b/>
          <w:color w:val="525866"/>
          <w:sz w:val="22"/>
        </w:rPr>
        <w:t>Permian Basin rig count is up nearly 10% off its Q1 low</w:t>
      </w:r>
      <w:r>
        <w:rPr>
          <w:rFonts w:ascii="Calibri" w:hAnsi="Calibri"/>
          <w:color w:val="525866"/>
          <w:sz w:val="22"/>
        </w:rPr>
        <w:t xml:space="preserve"> (per Baker Hughes), and the Permian is estimated to be operating at a "mid-70s frac fleet count" — effectively fully utilized for next-gen equipment</w:t>
      </w:r>
    </w:p>
    <w:p>
      <w:pPr>
        <w:pStyle w:val="ListBullet"/>
        <w:ind w:left="360" w:hanging="360"/>
      </w:pPr>
      <w:r>
        <w:rPr>
          <w:rFonts w:ascii="Calibri" w:hAnsi="Calibri"/>
          <w:i/>
          <w:color w:val="525866"/>
          <w:sz w:val="22"/>
        </w:rPr>
        <w:t>"Industry-wide next-generation natural gas burning fleets are effectively sold out, while available Tier 2 diesel equipment has also become increasingly limited"</w:t>
      </w:r>
      <w:r>
        <w:rPr>
          <w:rFonts w:ascii="Calibri" w:hAnsi="Calibri"/>
          <w:color w:val="525866"/>
          <w:sz w:val="22"/>
        </w:rPr>
        <w:t xml:space="preserve"> — directly relevant to FANG's 5th Halliburton e-fleet crew</w:t>
      </w:r>
    </w:p>
    <w:p>
      <w:pPr>
        <w:pStyle w:val="ListBullet"/>
        <w:ind w:left="360" w:hanging="360"/>
      </w:pPr>
      <w:r>
        <w:rPr>
          <w:rFonts w:ascii="Calibri" w:hAnsi="Calibri"/>
          <w:color w:val="525866"/>
          <w:sz w:val="22"/>
        </w:rPr>
        <w:t>PUMP is activating a 13th fleet for a "blue chip, top tier E&amp;P" new customer — signals that large public operators are pulling forward activity</w:t>
      </w:r>
    </w:p>
    <w:p>
      <w:pPr>
        <w:pStyle w:val="ListBullet"/>
        <w:ind w:left="360" w:hanging="360"/>
      </w:pPr>
      <w:r>
        <w:rPr>
          <w:rFonts w:ascii="Calibri" w:hAnsi="Calibri"/>
          <w:i/>
          <w:color w:val="525866"/>
          <w:sz w:val="22"/>
        </w:rPr>
        <w:t>"Larger, more public operators are using this conflict as an opportunity to pull forward 2027 planning"</w:t>
      </w:r>
      <w:r>
        <w:rPr>
          <w:rFonts w:ascii="Calibri" w:hAnsi="Calibri"/>
          <w:color w:val="525866"/>
          <w:sz w:val="22"/>
        </w:rPr>
        <w:t xml:space="preserve"> — consistent with FANG's "green light" framework</w:t>
      </w:r>
    </w:p>
    <w:p>
      <w:pPr>
        <w:pStyle w:val="ListBullet"/>
        <w:ind w:left="360" w:hanging="360"/>
      </w:pPr>
      <w:r>
        <w:rPr>
          <w:rFonts w:ascii="Calibri" w:hAnsi="Calibri"/>
          <w:i/>
          <w:color w:val="525866"/>
          <w:sz w:val="22"/>
        </w:rPr>
        <w:t>Positive pricing momentum: "next-generation natural gas burning fleets where demand remains exceptionally strong given today's diesel versus natural gas prices"</w:t>
      </w:r>
    </w:p>
    <w:p>
      <w:pPr>
        <w:pStyle w:val="ListBullet"/>
        <w:ind w:left="360" w:hanging="360"/>
      </w:pPr>
      <w:r>
        <w:rPr>
          <w:rFonts w:ascii="Calibri" w:hAnsi="Calibri"/>
          <w:b/>
          <w:color w:val="525866"/>
          <w:sz w:val="22"/>
        </w:rPr>
        <w:t xml:space="preserve">Read-through for FANG: </w:t>
      </w:r>
      <w:r>
        <w:rPr>
          <w:rFonts w:ascii="Calibri" w:hAnsi="Calibri"/>
          <w:i/>
          <w:color w:val="525866"/>
          <w:sz w:val="22"/>
        </w:rPr>
        <w:t>Confirms the 5th frac crew addition was well-timed; FANG's pre-contracted Halliburton e-fleet avoids spot market tightness. Permian rig count recovery supports FANG's DUC backfill plan.</w:t>
      </w:r>
    </w:p>
    <w:p>
      <w:pPr>
        <w:pStyle w:val="Heading4"/>
      </w:pPr>
      <w:r>
        <w:rPr>
          <w:rFonts w:ascii="Calibri" w:hAnsi="Calibri"/>
          <w:b/>
          <w:color w:val="3B4259"/>
          <w:sz w:val="22"/>
        </w:rPr>
        <w:t>Patterson-UTI Energy (PTEN) — Q2 2026 Earnings Call (July 30, 2026)</w:t>
      </w:r>
    </w:p>
    <w:p>
      <w:pPr>
        <w:pStyle w:val="ListBullet"/>
        <w:ind w:left="360" w:hanging="360"/>
      </w:pPr>
      <w:r>
        <w:rPr>
          <w:rFonts w:ascii="Calibri" w:hAnsi="Calibri"/>
          <w:i/>
          <w:color w:val="525866"/>
          <w:sz w:val="22"/>
        </w:rPr>
        <w:t>"In the Permian, demand is increasing and customers are reluctant to lose active, proven rigs and crews"</w:t>
      </w:r>
      <w:r>
        <w:rPr>
          <w:rFonts w:ascii="Calibri" w:hAnsi="Calibri"/>
          <w:color w:val="525866"/>
          <w:sz w:val="22"/>
        </w:rPr>
        <w:t xml:space="preserve"> — supports FANG's ability to retain its rig fleet at favorable rates</w:t>
      </w:r>
    </w:p>
    <w:p>
      <w:pPr>
        <w:pStyle w:val="ListBullet"/>
        <w:ind w:left="360" w:hanging="360"/>
      </w:pPr>
      <w:r>
        <w:rPr>
          <w:rFonts w:ascii="Calibri" w:hAnsi="Calibri"/>
          <w:b/>
          <w:color w:val="525866"/>
          <w:sz w:val="22"/>
        </w:rPr>
        <w:t>Rig count moved from high 80s to 99 in Q2, expecting to exit Q3 above 100</w:t>
      </w:r>
      <w:r>
        <w:rPr>
          <w:rFonts w:ascii="Calibri" w:hAnsi="Calibri"/>
          <w:color w:val="525866"/>
          <w:sz w:val="22"/>
        </w:rPr>
        <w:t xml:space="preserve"> — confirms the Permian rig count recovery FANG's CEO forecast ("up 25-30 rigs from where we are today")</w:t>
      </w:r>
    </w:p>
    <w:p>
      <w:pPr>
        <w:pStyle w:val="ListBullet"/>
        <w:ind w:left="360" w:hanging="360"/>
      </w:pPr>
      <w:r>
        <w:rPr>
          <w:rFonts w:ascii="Calibri" w:hAnsi="Calibri"/>
          <w:b/>
          <w:color w:val="525866"/>
          <w:sz w:val="22"/>
        </w:rPr>
        <w:t>Pricing on new drilling contracts increased 10-15% vs. Q1 levels</w:t>
      </w:r>
      <w:r>
        <w:rPr>
          <w:rFonts w:ascii="Calibri" w:hAnsi="Calibri"/>
          <w:color w:val="525866"/>
          <w:sz w:val="22"/>
        </w:rPr>
        <w:t xml:space="preserve"> — FANG's existing long-term rig contracts should insulate it from spot inflation</w:t>
      </w:r>
    </w:p>
    <w:p>
      <w:pPr>
        <w:pStyle w:val="ListBullet"/>
        <w:ind w:left="360" w:hanging="360"/>
      </w:pPr>
      <w:r>
        <w:rPr>
          <w:rFonts w:ascii="Calibri" w:hAnsi="Calibri"/>
          <w:i/>
          <w:color w:val="525866"/>
          <w:sz w:val="22"/>
        </w:rPr>
        <w:t>"Roughly half of recent wells drilled have laterals longer than two miles, compared with about one-third last year"</w:t>
      </w:r>
      <w:r>
        <w:rPr>
          <w:rFonts w:ascii="Calibri" w:hAnsi="Calibri"/>
          <w:color w:val="525866"/>
          <w:sz w:val="22"/>
        </w:rPr>
        <w:t xml:space="preserve"> — consistent with FANG's 12,900 ft average lateral length target for FY 2026</w:t>
      </w:r>
    </w:p>
    <w:p>
      <w:pPr>
        <w:pStyle w:val="ListBullet"/>
        <w:ind w:left="360" w:hanging="360"/>
      </w:pPr>
      <w:r>
        <w:rPr>
          <w:rFonts w:ascii="Calibri" w:hAnsi="Calibri"/>
          <w:i/>
          <w:color w:val="525866"/>
          <w:sz w:val="22"/>
        </w:rPr>
        <w:t>"Natural gas-powered capacity is effectively fully utilized across the industry"</w:t>
      </w:r>
      <w:r>
        <w:rPr>
          <w:rFonts w:ascii="Calibri" w:hAnsi="Calibri"/>
          <w:color w:val="525866"/>
          <w:sz w:val="22"/>
        </w:rPr>
        <w:t xml:space="preserve"> — validates FANG's decision to lock in the 5th Halliburton e-fleet crew</w:t>
      </w:r>
    </w:p>
    <w:p>
      <w:pPr>
        <w:pStyle w:val="ListBullet"/>
        <w:ind w:left="360" w:hanging="360"/>
      </w:pPr>
      <w:r>
        <w:rPr>
          <w:rFonts w:ascii="Calibri" w:hAnsi="Calibri"/>
          <w:b/>
          <w:color w:val="525866"/>
          <w:sz w:val="22"/>
        </w:rPr>
        <w:t xml:space="preserve">Read-through for FANG: </w:t>
      </w:r>
      <w:r>
        <w:rPr>
          <w:rFonts w:ascii="Calibri" w:hAnsi="Calibri"/>
          <w:i/>
          <w:color w:val="525866"/>
          <w:sz w:val="22"/>
        </w:rPr>
        <w:t>Rig market tightening is a tailwind for FANG's existing contracted fleet; longer lateral trend supports FANG's capital efficiency narrative.</w:t>
      </w:r>
    </w:p>
    <w:p>
      <w:pPr>
        <w:pStyle w:val="Heading4"/>
      </w:pPr>
      <w:r>
        <w:rPr>
          <w:rFonts w:ascii="Calibri" w:hAnsi="Calibri"/>
          <w:b/>
          <w:color w:val="3B4259"/>
          <w:sz w:val="22"/>
        </w:rPr>
        <w:t>Liberty Energy (LBRT) — Q2 2026 Earnings Call (July 23, 2026)</w:t>
      </w:r>
    </w:p>
    <w:p>
      <w:pPr>
        <w:pStyle w:val="ListBullet"/>
        <w:ind w:left="360" w:hanging="360"/>
      </w:pPr>
      <w:r>
        <w:rPr>
          <w:rFonts w:ascii="Calibri" w:hAnsi="Calibri"/>
          <w:i/>
          <w:color w:val="525866"/>
          <w:sz w:val="22"/>
        </w:rPr>
        <w:t>"Frac markets improved modestly, alongside a gradual increase in North American producer activity"</w:t>
      </w:r>
    </w:p>
    <w:p>
      <w:pPr>
        <w:pStyle w:val="ListBullet"/>
        <w:ind w:left="360" w:hanging="360"/>
      </w:pPr>
      <w:r>
        <w:rPr>
          <w:rFonts w:ascii="Calibri" w:hAnsi="Calibri"/>
          <w:i/>
          <w:color w:val="525866"/>
          <w:sz w:val="22"/>
        </w:rPr>
        <w:t>"Things are tight for the higher end equipment"</w:t>
      </w:r>
      <w:r>
        <w:rPr>
          <w:rFonts w:ascii="Calibri" w:hAnsi="Calibri"/>
          <w:color w:val="525866"/>
          <w:sz w:val="22"/>
        </w:rPr>
        <w:t xml:space="preserve"> and "the market's a little tighter for equipment"</w:t>
      </w:r>
    </w:p>
    <w:p>
      <w:pPr>
        <w:pStyle w:val="ListBullet"/>
        <w:ind w:left="360" w:hanging="360"/>
      </w:pPr>
      <w:r>
        <w:rPr>
          <w:rFonts w:ascii="Calibri" w:hAnsi="Calibri"/>
          <w:i/>
          <w:color w:val="525866"/>
          <w:sz w:val="22"/>
        </w:rPr>
        <w:t>"Large U.S. and Canadian producers remain cautious toward increasing activity levels given continued price volatility"</w:t>
      </w:r>
      <w:r>
        <w:rPr>
          <w:rFonts w:ascii="Calibri" w:hAnsi="Calibri"/>
          <w:color w:val="525866"/>
          <w:sz w:val="22"/>
        </w:rPr>
        <w:t xml:space="preserve"> — but FANG has already committed to the "green light" ramp</w:t>
      </w:r>
    </w:p>
    <w:p>
      <w:pPr>
        <w:pStyle w:val="ListBullet"/>
        <w:ind w:left="360" w:hanging="360"/>
      </w:pPr>
      <w:r>
        <w:rPr>
          <w:rFonts w:ascii="Calibri" w:hAnsi="Calibri"/>
          <w:i/>
          <w:color w:val="525866"/>
          <w:sz w:val="22"/>
        </w:rPr>
        <w:t>Q3 calendar "continues to be quite strong" with "very, very modest white space"</w:t>
      </w:r>
      <w:r>
        <w:rPr>
          <w:rFonts w:ascii="Calibri" w:hAnsi="Calibri"/>
          <w:color w:val="525866"/>
          <w:sz w:val="22"/>
        </w:rPr>
        <w:t xml:space="preserve"> — strong utilization through Q3 supports FANG's completion schedule</w:t>
      </w:r>
    </w:p>
    <w:p>
      <w:pPr>
        <w:pStyle w:val="ListBullet"/>
        <w:ind w:left="360" w:hanging="360"/>
      </w:pPr>
      <w:r>
        <w:rPr>
          <w:rFonts w:ascii="Calibri" w:hAnsi="Calibri"/>
          <w:b/>
          <w:color w:val="525866"/>
          <w:sz w:val="22"/>
        </w:rPr>
        <w:t xml:space="preserve">Read-through for FANG: </w:t>
      </w:r>
      <w:r>
        <w:rPr>
          <w:rFonts w:ascii="Calibri" w:hAnsi="Calibri"/>
          <w:i/>
          <w:color w:val="525866"/>
          <w:sz w:val="22"/>
        </w:rPr>
        <w:t>Tight high-end frac market validates FANG's pre-contracted 5th crew strategy; strong Q3 calendar visibility is positive for H2 production ramp.</w:t>
      </w:r>
    </w:p>
    <w:p>
      <w:pPr>
        <w:pStyle w:val="ListBullet"/>
        <w:ind w:left="360" w:hanging="360"/>
      </w:pPr>
      <w:r>
        <w:rPr>
          <w:rFonts w:ascii="Calibri" w:hAnsi="Calibri"/>
          <w:b/>
          <w:color w:val="525866"/>
          <w:sz w:val="22"/>
        </w:rPr>
        <w:t xml:space="preserve">Additional note: </w:t>
      </w:r>
      <w:r>
        <w:rPr>
          <w:rFonts w:ascii="Calibri" w:hAnsi="Calibri"/>
          <w:color w:val="525866"/>
          <w:sz w:val="22"/>
        </w:rPr>
        <w:t>LBRT is developing the Alpha Digital Campus — a 2-gigawatt powered campus in West Texas — in partnership with Power Bridge, with first power anticipated in Q4 2027. This is consistent with FANG's longer-term power/data center gas monetization strategy.</w:t>
      </w:r>
    </w:p>
    <w:p>
      <w:pPr>
        <w:pStyle w:val="Heading4"/>
      </w:pPr>
      <w:r>
        <w:rPr>
          <w:rFonts w:ascii="Calibri" w:hAnsi="Calibri"/>
          <w:b/>
          <w:color w:val="3B4259"/>
          <w:sz w:val="22"/>
        </w:rPr>
        <w:t>SLB — Q2 2026 Earnings Call (July 24, 2026)</w:t>
      </w:r>
    </w:p>
    <w:p>
      <w:pPr>
        <w:pStyle w:val="ListBullet"/>
        <w:ind w:left="360" w:hanging="360"/>
      </w:pPr>
      <w:r>
        <w:rPr>
          <w:rFonts w:ascii="Calibri" w:hAnsi="Calibri"/>
          <w:i/>
          <w:color w:val="525866"/>
          <w:sz w:val="22"/>
        </w:rPr>
        <w:t>"Rebound in U.S. land with higher sales of production, chemicals, artificial lift and valves"</w:t>
      </w:r>
      <w:r>
        <w:rPr>
          <w:rFonts w:ascii="Calibri" w:hAnsi="Calibri"/>
          <w:color w:val="525866"/>
          <w:sz w:val="22"/>
        </w:rPr>
        <w:t xml:space="preserve"> — broad-based U.S. land activity recovery</w:t>
      </w:r>
    </w:p>
    <w:p>
      <w:pPr>
        <w:pStyle w:val="ListBullet"/>
        <w:ind w:left="360" w:hanging="360"/>
      </w:pPr>
      <w:r>
        <w:rPr>
          <w:rFonts w:ascii="Calibri" w:hAnsi="Calibri"/>
          <w:color w:val="525866"/>
          <w:sz w:val="22"/>
        </w:rPr>
        <w:t>"North American land will remain tied to short cycle market dynamics, including commodity price, inventory levels and the pace of restocking"</w:t>
      </w:r>
    </w:p>
    <w:p>
      <w:pPr>
        <w:pStyle w:val="ListBullet"/>
        <w:ind w:left="360" w:hanging="360"/>
      </w:pPr>
      <w:r>
        <w:rPr>
          <w:rFonts w:ascii="Calibri" w:hAnsi="Calibri"/>
          <w:b/>
          <w:color w:val="525866"/>
          <w:sz w:val="22"/>
        </w:rPr>
        <w:t>Global FIDs for long-cycle projects expected to increase ~30% YoY in 2026</w:t>
      </w:r>
      <w:r>
        <w:rPr>
          <w:rFonts w:ascii="Calibri" w:hAnsi="Calibri"/>
          <w:color w:val="525866"/>
          <w:sz w:val="22"/>
        </w:rPr>
        <w:t xml:space="preserve"> — longer-term positive for oil supply/demand balance</w:t>
      </w:r>
    </w:p>
    <w:p>
      <w:pPr>
        <w:pStyle w:val="ListBullet"/>
        <w:ind w:left="360" w:hanging="360"/>
      </w:pPr>
      <w:r>
        <w:rPr>
          <w:rFonts w:ascii="Calibri" w:hAnsi="Calibri"/>
          <w:b/>
          <w:color w:val="525866"/>
          <w:sz w:val="22"/>
        </w:rPr>
        <w:t xml:space="preserve">Read-through for FANG: </w:t>
      </w:r>
      <w:r>
        <w:rPr>
          <w:rFonts w:ascii="Calibri" w:hAnsi="Calibri"/>
          <w:i/>
          <w:color w:val="525866"/>
          <w:sz w:val="22"/>
        </w:rPr>
        <w:t>U.S. land activity recovery is consistent with FANG's "green light" ramp; SLB's AI/automation tools (used by FANG for downtime reduction) are seeing strong demand.</w:t>
      </w:r>
    </w:p>
    <w:p>
      <w:pPr>
        <w:pStyle w:val="Heading3"/>
      </w:pPr>
      <w:r>
        <w:rPr>
          <w:rFonts w:ascii="Calibri" w:hAnsi="Calibri"/>
          <w:b/>
          <w:color w:val="3B4259"/>
          <w:sz w:val="24"/>
        </w:rPr>
        <w:t>E&amp;P Peers — Permian &amp; Macro Read-Through</w:t>
      </w:r>
    </w:p>
    <w:p>
      <w:pPr>
        <w:pStyle w:val="Heading4"/>
      </w:pPr>
      <w:r>
        <w:rPr>
          <w:rFonts w:ascii="Calibri" w:hAnsi="Calibri"/>
          <w:b/>
          <w:color w:val="3B4259"/>
          <w:sz w:val="22"/>
        </w:rPr>
        <w:t>Ovintiv (OVV) — Q2 2026 Earnings Call (July 24, 2026)</w:t>
      </w:r>
    </w:p>
    <w:p>
      <w:pPr>
        <w:pStyle w:val="ListBullet"/>
        <w:ind w:left="360" w:hanging="360"/>
      </w:pPr>
      <w:r>
        <w:rPr>
          <w:rFonts w:ascii="Calibri" w:hAnsi="Calibri"/>
          <w:i/>
          <w:color w:val="525866"/>
          <w:sz w:val="22"/>
        </w:rPr>
        <w:t>Permian oil production averaged 127,000 bpd in Q2, "extending the outperformance we saw in Q1"</w:t>
      </w:r>
      <w:r>
        <w:rPr>
          <w:rFonts w:ascii="Calibri" w:hAnsi="Calibri"/>
          <w:color w:val="525866"/>
          <w:sz w:val="22"/>
        </w:rPr>
        <w:t xml:space="preserve"> — Permian wells are outperforming type curves across the basin</w:t>
      </w:r>
    </w:p>
    <w:p>
      <w:pPr>
        <w:pStyle w:val="ListBullet"/>
        <w:ind w:left="360" w:hanging="360"/>
      </w:pPr>
      <w:r>
        <w:rPr>
          <w:rFonts w:ascii="Calibri" w:hAnsi="Calibri"/>
          <w:b/>
          <w:color w:val="525866"/>
          <w:sz w:val="22"/>
        </w:rPr>
        <w:t>Raised Permian go-forward run rate to 125,000 bpd; full-year oil guidance raised to 210-212,000 bpd</w:t>
      </w:r>
      <w:r>
        <w:rPr>
          <w:rFonts w:ascii="Calibri" w:hAnsi="Calibri"/>
          <w:color w:val="525866"/>
          <w:sz w:val="22"/>
        </w:rPr>
        <w:t xml:space="preserve"> — no additional capital or activity required</w:t>
      </w:r>
    </w:p>
    <w:p>
      <w:pPr>
        <w:pStyle w:val="ListBullet"/>
        <w:ind w:left="360" w:hanging="360"/>
      </w:pPr>
      <w:r>
        <w:rPr>
          <w:rFonts w:ascii="Calibri" w:hAnsi="Calibri"/>
          <w:i/>
          <w:color w:val="525866"/>
          <w:sz w:val="22"/>
        </w:rPr>
        <w:t>"Surfactants in completion design show about a 9% improvement in oil productivity versus non-surfactant treated wells at a cost of only $100,000 per well"</w:t>
      </w:r>
      <w:r>
        <w:rPr>
          <w:rFonts w:ascii="Calibri" w:hAnsi="Calibri"/>
          <w:color w:val="525866"/>
          <w:sz w:val="22"/>
        </w:rPr>
        <w:t xml:space="preserve"> — completion innovation driving basin-wide productivity gains</w:t>
      </w:r>
    </w:p>
    <w:p>
      <w:pPr>
        <w:pStyle w:val="ListBullet"/>
        <w:ind w:left="360" w:hanging="360"/>
      </w:pPr>
      <w:r>
        <w:rPr>
          <w:rFonts w:ascii="Calibri" w:hAnsi="Calibri"/>
          <w:i/>
          <w:color w:val="525866"/>
          <w:sz w:val="22"/>
        </w:rPr>
        <w:t>"AI and automation to optimize artificial lift parameters, reduce downtime, and flatten well declines"</w:t>
      </w:r>
      <w:r>
        <w:rPr>
          <w:rFonts w:ascii="Calibri" w:hAnsi="Calibri"/>
          <w:color w:val="525866"/>
          <w:sz w:val="22"/>
        </w:rPr>
        <w:t xml:space="preserve"> via Permian Operations Control Center — mirrors FANG's AI/automation-driven downtime reduction narrative from Q1</w:t>
      </w:r>
    </w:p>
    <w:p>
      <w:pPr>
        <w:pStyle w:val="ListBullet"/>
        <w:ind w:left="360" w:hanging="360"/>
      </w:pPr>
      <w:r>
        <w:rPr>
          <w:rFonts w:ascii="Calibri" w:hAnsi="Calibri"/>
          <w:b/>
          <w:color w:val="525866"/>
          <w:sz w:val="22"/>
        </w:rPr>
        <w:t>Midland oil prices traded at a 7% premium to WTI in Q2; WTI roll added ~$5 to oil price realizations</w:t>
      </w:r>
      <w:r>
        <w:rPr>
          <w:rFonts w:ascii="Calibri" w:hAnsi="Calibri"/>
          <w:color w:val="525866"/>
          <w:sz w:val="22"/>
        </w:rPr>
        <w:t xml:space="preserve"> — positive for FANG's Midland Basin volumes</w:t>
      </w:r>
    </w:p>
    <w:p>
      <w:pPr>
        <w:pStyle w:val="ListBullet"/>
        <w:ind w:left="360" w:hanging="360"/>
      </w:pPr>
      <w:r>
        <w:rPr>
          <w:rFonts w:ascii="Calibri" w:hAnsi="Calibri"/>
          <w:i/>
          <w:color w:val="525866"/>
          <w:sz w:val="22"/>
        </w:rPr>
        <w:t>"Not currently seeing significant inflationary pressure on our 2026 capital program, outside of higher diesel costs"</w:t>
      </w:r>
      <w:r>
        <w:rPr>
          <w:rFonts w:ascii="Calibri" w:hAnsi="Calibri"/>
          <w:color w:val="525866"/>
          <w:sz w:val="22"/>
        </w:rPr>
        <w:t xml:space="preserve"> — consistent with FANG's Q1 commentary on minimal service inflation</w:t>
      </w:r>
    </w:p>
    <w:p>
      <w:pPr>
        <w:pStyle w:val="ListBullet"/>
        <w:ind w:left="360" w:hanging="360"/>
      </w:pPr>
      <w:r>
        <w:rPr>
          <w:rFonts w:ascii="Calibri" w:hAnsi="Calibri"/>
          <w:b/>
          <w:color w:val="525866"/>
          <w:sz w:val="22"/>
        </w:rPr>
        <w:t xml:space="preserve">Read-through for FANG: </w:t>
      </w:r>
      <w:r>
        <w:rPr>
          <w:rFonts w:ascii="Calibri" w:hAnsi="Calibri"/>
          <w:i/>
          <w:color w:val="525866"/>
          <w:sz w:val="22"/>
        </w:rPr>
        <w:t>Basin-wide Permian outperformance vs. type curves is a strong positive signal for FANG's Q2 production. Midland premium pricing and WTI roll benefit are directly applicable to FANG's Midland volumes.</w:t>
      </w:r>
    </w:p>
    <w:p>
      <w:pPr>
        <w:pStyle w:val="Heading4"/>
      </w:pPr>
      <w:r>
        <w:rPr>
          <w:rFonts w:ascii="Calibri" w:hAnsi="Calibri"/>
          <w:b/>
          <w:color w:val="3B4259"/>
          <w:sz w:val="22"/>
        </w:rPr>
        <w:t>APA Corporation — Q2 2026 Supplemental (8-K, July 8, 2026)</w:t>
      </w:r>
    </w:p>
    <w:p>
      <w:pPr>
        <w:pStyle w:val="ListBullet"/>
        <w:ind w:left="360" w:hanging="360"/>
      </w:pPr>
      <w:r>
        <w:rPr>
          <w:rFonts w:ascii="Calibri" w:hAnsi="Calibri"/>
          <w:b/>
          <w:color w:val="525866"/>
          <w:sz w:val="22"/>
        </w:rPr>
        <w:t>Curtailed approximately 137 MMcf/d of U.S. natural gas production and 12,300 bpd of U.S. NGL production</w:t>
      </w:r>
      <w:r>
        <w:rPr>
          <w:rFonts w:ascii="Calibri" w:hAnsi="Calibri"/>
          <w:color w:val="525866"/>
          <w:sz w:val="22"/>
        </w:rPr>
        <w:t xml:space="preserve"> "in response to weak or negative Waha hub prices" in Q2</w:t>
      </w:r>
    </w:p>
    <w:p>
      <w:pPr>
        <w:pStyle w:val="ListBullet"/>
        <w:ind w:left="360" w:hanging="360"/>
      </w:pPr>
      <w:r>
        <w:rPr>
          <w:rFonts w:ascii="Calibri" w:hAnsi="Calibri"/>
          <w:b/>
          <w:color w:val="525866"/>
          <w:sz w:val="22"/>
        </w:rPr>
        <w:t>U.S. realized natural gas price was ($2.20)/Mcf in Q2</w:t>
      </w:r>
      <w:r>
        <w:rPr>
          <w:rFonts w:ascii="Calibri" w:hAnsi="Calibri"/>
          <w:color w:val="525866"/>
          <w:sz w:val="22"/>
        </w:rPr>
        <w:t xml:space="preserve"> — confirms deeply negative Waha pricing environment</w:t>
      </w:r>
    </w:p>
    <w:p>
      <w:pPr>
        <w:pStyle w:val="ListBullet"/>
        <w:ind w:left="360" w:hanging="360"/>
      </w:pPr>
      <w:r>
        <w:rPr>
          <w:rFonts w:ascii="Calibri" w:hAnsi="Calibri"/>
          <w:b/>
          <w:color w:val="525866"/>
          <w:sz w:val="22"/>
        </w:rPr>
        <w:t xml:space="preserve">Read-through for FANG: </w:t>
      </w:r>
      <w:r>
        <w:rPr>
          <w:rFonts w:ascii="Calibri" w:hAnsi="Calibri"/>
          <w:i/>
          <w:color w:val="525866"/>
          <w:sz w:val="22"/>
        </w:rPr>
        <w:t>Waha pricing was deeply negative enough to force APA curtailments. FANG noted "well protected with financial and physical hedges" — the hedge book will be critical to Q2 gas revenue. Watch for any gas curtailment disclosure.</w:t>
      </w:r>
    </w:p>
    <w:p>
      <w:pPr>
        <w:pStyle w:val="Heading4"/>
      </w:pPr>
      <w:r>
        <w:rPr>
          <w:rFonts w:ascii="Calibri" w:hAnsi="Calibri"/>
          <w:b/>
          <w:color w:val="3B4259"/>
          <w:sz w:val="22"/>
        </w:rPr>
        <w:t>ExxonMobil (XOM) — Q2 2026 Earnings Call (July 31, 2026)</w:t>
      </w:r>
    </w:p>
    <w:p>
      <w:pPr>
        <w:pStyle w:val="ListBullet"/>
        <w:ind w:left="360" w:hanging="360"/>
      </w:pPr>
      <w:r>
        <w:rPr>
          <w:rFonts w:ascii="Calibri" w:hAnsi="Calibri"/>
          <w:b/>
          <w:color w:val="525866"/>
          <w:sz w:val="22"/>
        </w:rPr>
        <w:t>Permian production set a new record of more than 1.8 million boe/d in Q2</w:t>
      </w:r>
      <w:r>
        <w:rPr>
          <w:rFonts w:ascii="Calibri" w:hAnsi="Calibri"/>
          <w:color w:val="525866"/>
          <w:sz w:val="22"/>
        </w:rPr>
        <w:t xml:space="preserve"> — basin-wide production momentum is strong</w:t>
      </w:r>
    </w:p>
    <w:p>
      <w:pPr>
        <w:pStyle w:val="ListBullet"/>
        <w:ind w:left="360" w:hanging="360"/>
      </w:pPr>
      <w:r>
        <w:rPr>
          <w:rFonts w:ascii="Calibri" w:hAnsi="Calibri"/>
          <w:i/>
          <w:color w:val="525866"/>
          <w:sz w:val="22"/>
        </w:rPr>
        <w:t>"Permian has been operating for the last five quarters at over a million barrels per day"</w:t>
      </w:r>
      <w:r>
        <w:rPr>
          <w:rFonts w:ascii="Calibri" w:hAnsi="Calibri"/>
          <w:color w:val="525866"/>
          <w:sz w:val="22"/>
        </w:rPr>
        <w:t xml:space="preserve"> — confirms sustained high-activity environment</w:t>
      </w:r>
    </w:p>
    <w:p>
      <w:pPr>
        <w:pStyle w:val="ListBullet"/>
        <w:ind w:left="360" w:hanging="360"/>
      </w:pPr>
      <w:r>
        <w:rPr>
          <w:rFonts w:ascii="Calibri" w:hAnsi="Calibri"/>
          <w:b/>
          <w:color w:val="525866"/>
          <w:sz w:val="22"/>
        </w:rPr>
        <w:t>Permian CapEx expected below $3.5B for the year, a 25% improvement in capital efficiency (CapEx per barrel) vs. 2025</w:t>
      </w:r>
      <w:r>
        <w:rPr>
          <w:rFonts w:ascii="Calibri" w:hAnsi="Calibri"/>
          <w:color w:val="525866"/>
          <w:sz w:val="22"/>
        </w:rPr>
        <w:t xml:space="preserve"> — efficiency gains are basin-wide</w:t>
      </w:r>
    </w:p>
    <w:p>
      <w:pPr>
        <w:pStyle w:val="ListBullet"/>
        <w:ind w:left="360" w:hanging="360"/>
      </w:pPr>
      <w:r>
        <w:rPr>
          <w:rFonts w:ascii="Calibri" w:hAnsi="Calibri"/>
          <w:i/>
          <w:color w:val="525866"/>
          <w:sz w:val="22"/>
        </w:rPr>
        <w:t>"Highest reliability since 2024" in the Permian, driven by AI/automation initiatives</w:t>
      </w:r>
      <w:r>
        <w:rPr>
          <w:rFonts w:ascii="Calibri" w:hAnsi="Calibri"/>
          <w:color w:val="525866"/>
          <w:sz w:val="22"/>
        </w:rPr>
        <w:t xml:space="preserve"> — consistent with FANG's downtime reduction narrative</w:t>
      </w:r>
    </w:p>
    <w:p>
      <w:pPr>
        <w:pStyle w:val="ListBullet"/>
        <w:ind w:left="360" w:hanging="360"/>
      </w:pPr>
      <w:r>
        <w:rPr>
          <w:rFonts w:ascii="Calibri" w:hAnsi="Calibri"/>
          <w:b/>
          <w:color w:val="525866"/>
          <w:sz w:val="22"/>
        </w:rPr>
        <w:t xml:space="preserve">Read-through for FANG: </w:t>
      </w:r>
      <w:r>
        <w:rPr>
          <w:rFonts w:ascii="Calibri" w:hAnsi="Calibri"/>
          <w:i/>
          <w:color w:val="525866"/>
          <w:sz w:val="22"/>
        </w:rPr>
        <w:t>Record Permian production from XOM confirms the basin is operating at high efficiency. Capital efficiency improvements are a sector-wide tailwind that supports FANG's reinvestment rate narrative.</w:t>
      </w:r>
    </w:p>
    <w:p>
      <w:pPr>
        <w:pStyle w:val="Heading4"/>
      </w:pPr>
      <w:r>
        <w:rPr>
          <w:rFonts w:ascii="Calibri" w:hAnsi="Calibri"/>
          <w:b/>
          <w:color w:val="3B4259"/>
          <w:sz w:val="22"/>
        </w:rPr>
        <w:t>Chevron (CVX) — Q2 2026 Earnings Call (July 31, 2026)</w:t>
      </w:r>
    </w:p>
    <w:p>
      <w:pPr>
        <w:pStyle w:val="ListBullet"/>
        <w:ind w:left="360" w:hanging="360"/>
      </w:pPr>
      <w:r>
        <w:rPr>
          <w:rFonts w:ascii="Calibri" w:hAnsi="Calibri"/>
          <w:b/>
          <w:color w:val="525866"/>
          <w:sz w:val="22"/>
        </w:rPr>
        <w:t>Achieved records for total U.S. production, Permian production, and refinery throughput in Q2</w:t>
      </w:r>
    </w:p>
    <w:p>
      <w:pPr>
        <w:pStyle w:val="ListBullet"/>
        <w:ind w:left="360" w:hanging="360"/>
      </w:pPr>
      <w:r>
        <w:rPr>
          <w:rFonts w:ascii="Calibri" w:hAnsi="Calibri"/>
          <w:color w:val="525866"/>
          <w:sz w:val="22"/>
        </w:rPr>
        <w:t>Permian CapEx expected below $3.5B, representing a 25% improvement in capital efficiency vs. 2025</w:t>
      </w:r>
    </w:p>
    <w:p>
      <w:pPr>
        <w:pStyle w:val="ListBullet"/>
        <w:ind w:left="360" w:hanging="360"/>
      </w:pPr>
      <w:r>
        <w:rPr>
          <w:rFonts w:ascii="Calibri" w:hAnsi="Calibri"/>
          <w:i/>
          <w:color w:val="525866"/>
          <w:sz w:val="22"/>
        </w:rPr>
        <w:t>"Middle distillates (diesel) are the tight spot right now"</w:t>
      </w:r>
      <w:r>
        <w:rPr>
          <w:rFonts w:ascii="Calibri" w:hAnsi="Calibri"/>
          <w:color w:val="525866"/>
          <w:sz w:val="22"/>
        </w:rPr>
        <w:t xml:space="preserve"> — elevated diesel prices support the economics of FANG's natural gas-powered frac fleet (lower operating costs vs. diesel)</w:t>
      </w:r>
    </w:p>
    <w:p>
      <w:pPr>
        <w:pStyle w:val="ListBullet"/>
        <w:ind w:left="360" w:hanging="360"/>
      </w:pPr>
      <w:r>
        <w:rPr>
          <w:rFonts w:ascii="Calibri" w:hAnsi="Calibri"/>
          <w:b/>
          <w:color w:val="525866"/>
          <w:sz w:val="22"/>
        </w:rPr>
        <w:t xml:space="preserve">Read-through for FANG: </w:t>
      </w:r>
      <w:r>
        <w:rPr>
          <w:rFonts w:ascii="Calibri" w:hAnsi="Calibri"/>
          <w:i/>
          <w:color w:val="525866"/>
          <w:sz w:val="22"/>
        </w:rPr>
        <w:t>Record Permian production from CVX is a strong basin-wide positive. Tight diesel market reinforces the cost advantage of FANG's natural gas-powered completion equipment.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The post-Q1 period has seen </w:t>
      </w:r>
      <w:r>
        <w:rPr>
          <w:rFonts w:ascii="Calibri" w:hAnsi="Calibri"/>
          <w:b/>
          <w:color w:val="525866"/>
          <w:sz w:val="22"/>
        </w:rPr>
        <w:t>significant insider selling</w:t>
      </w:r>
      <w:r>
        <w:rPr>
          <w:rFonts w:ascii="Calibri" w:hAnsi="Calibri"/>
          <w:color w:val="525866"/>
          <w:sz w:val="22"/>
        </w:rPr>
        <w:t xml:space="preserve">, including a notable 15,000-share open-market sale by </w:t>
      </w:r>
      <w:r>
        <w:rPr>
          <w:rFonts w:ascii="Calibri" w:hAnsi="Calibri"/>
          <w:b/>
          <w:color w:val="525866"/>
          <w:sz w:val="22"/>
        </w:rPr>
        <w:t>CEO Kaes Van't Hof on June 3, 2026</w:t>
      </w:r>
      <w:r>
        <w:rPr>
          <w:rFonts w:ascii="Calibri" w:hAnsi="Calibri"/>
          <w:color w:val="525866"/>
          <w:sz w:val="22"/>
        </w:rPr>
        <w:t xml:space="preserve"> (discretionary, not 10b5-1), and a large 10-million-share sale by 10% owner Lyndal Greth on June 4, 2026. Multiple director and executive sales in May-June 2026 are consistent with post-earnings window selling, but the CEO's discretionary sale warrants attention.</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Date (Effective)</w:t>
            </w:r>
          </w:p>
        </w:tc>
        <w:tc>
          <w:tcPr>
            <w:tcW w:type="dxa" w:w="1234"/>
            <w:shd w:val="clear" w:color="auto" w:fill="3B4259"/>
          </w:tcPr>
          <w:p>
            <w:r>
              <w:rPr>
                <w:rFonts w:ascii="Calibri" w:hAnsi="Calibri"/>
                <w:b/>
                <w:color w:val="FFFFFF"/>
                <w:sz w:val="22"/>
              </w:rPr>
              <w:t>Date (Disclosed)</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Lyndal Greth</w:t>
            </w:r>
          </w:p>
        </w:tc>
        <w:tc>
          <w:tcPr>
            <w:tcW w:type="dxa" w:w="1234"/>
          </w:tcPr>
          <w:p>
            <w:r>
              <w:rPr>
                <w:rFonts w:ascii="Calibri" w:hAnsi="Calibri"/>
                <w:sz w:val="22"/>
              </w:rPr>
              <w:t>10% Owner</w:t>
            </w:r>
          </w:p>
        </w:tc>
        <w:tc>
          <w:tcPr>
            <w:tcW w:type="dxa" w:w="1234"/>
          </w:tcPr>
          <w:p>
            <w:r>
              <w:rPr>
                <w:rFonts w:ascii="Calibri" w:hAnsi="Calibri"/>
                <w:b/>
                <w:color w:val="E5484D"/>
                <w:sz w:val="22"/>
              </w:rPr>
              <w:t>Open Market Sale</w:t>
            </w:r>
          </w:p>
        </w:tc>
        <w:tc>
          <w:tcPr>
            <w:tcW w:type="dxa" w:w="1234"/>
          </w:tcPr>
          <w:p>
            <w:r>
              <w:rPr>
                <w:rFonts w:ascii="Calibri" w:hAnsi="Calibri"/>
                <w:sz w:val="22"/>
              </w:rPr>
              <w:t>10,000,000</w:t>
            </w:r>
          </w:p>
        </w:tc>
        <w:tc>
          <w:tcPr>
            <w:tcW w:type="dxa" w:w="1234"/>
          </w:tcPr>
          <w:p>
            <w:r>
              <w:rPr>
                <w:rFonts w:ascii="Calibri" w:hAnsi="Calibri"/>
                <w:sz w:val="22"/>
              </w:rPr>
              <w:t>Jun 4, 2026</w:t>
            </w:r>
          </w:p>
        </w:tc>
        <w:tc>
          <w:tcPr>
            <w:tcW w:type="dxa" w:w="1234"/>
          </w:tcPr>
          <w:p>
            <w:r>
              <w:rPr>
                <w:rFonts w:ascii="Calibri" w:hAnsi="Calibri"/>
                <w:sz w:val="22"/>
              </w:rPr>
              <w:t>Jun 5, 2026</w:t>
            </w:r>
          </w:p>
        </w:tc>
        <w:tc>
          <w:tcPr>
            <w:tcW w:type="dxa" w:w="1234"/>
          </w:tcPr>
          <w:p>
            <w:r>
              <w:rPr>
                <w:rFonts w:ascii="Calibri" w:hAnsi="Calibri"/>
                <w:sz w:val="22"/>
              </w:rPr>
              <w:t>Large block sale; not flagged as 10b5-1; significant in size</w:t>
            </w:r>
          </w:p>
        </w:tc>
      </w:tr>
      <w:tr>
        <w:tc>
          <w:tcPr>
            <w:tcW w:type="dxa" w:w="1234"/>
          </w:tcPr>
          <w:p>
            <w:r>
              <w:rPr>
                <w:rFonts w:ascii="Calibri" w:hAnsi="Calibri"/>
                <w:sz w:val="22"/>
              </w:rPr>
              <w:t>Kaes Van't Hof</w:t>
            </w:r>
          </w:p>
        </w:tc>
        <w:tc>
          <w:tcPr>
            <w:tcW w:type="dxa" w:w="1234"/>
          </w:tcPr>
          <w:p>
            <w:r>
              <w:rPr>
                <w:rFonts w:ascii="Calibri" w:hAnsi="Calibri"/>
                <w:sz w:val="22"/>
              </w:rPr>
              <w:t>CEO, Director</w:t>
            </w:r>
          </w:p>
        </w:tc>
        <w:tc>
          <w:tcPr>
            <w:tcW w:type="dxa" w:w="1234"/>
          </w:tcPr>
          <w:p>
            <w:r>
              <w:rPr>
                <w:rFonts w:ascii="Calibri" w:hAnsi="Calibri"/>
                <w:b/>
                <w:color w:val="E5484D"/>
                <w:sz w:val="22"/>
              </w:rPr>
              <w:t>Open Market Sale</w:t>
            </w:r>
          </w:p>
        </w:tc>
        <w:tc>
          <w:tcPr>
            <w:tcW w:type="dxa" w:w="1234"/>
          </w:tcPr>
          <w:p>
            <w:r>
              <w:rPr>
                <w:rFonts w:ascii="Calibri" w:hAnsi="Calibri"/>
                <w:sz w:val="22"/>
              </w:rPr>
              <w:t>15,000</w:t>
            </w:r>
          </w:p>
        </w:tc>
        <w:tc>
          <w:tcPr>
            <w:tcW w:type="dxa" w:w="1234"/>
          </w:tcPr>
          <w:p>
            <w:r>
              <w:rPr>
                <w:rFonts w:ascii="Calibri" w:hAnsi="Calibri"/>
                <w:sz w:val="22"/>
              </w:rPr>
              <w:t>Jun 3, 2026</w:t>
            </w:r>
          </w:p>
        </w:tc>
        <w:tc>
          <w:tcPr>
            <w:tcW w:type="dxa" w:w="1234"/>
          </w:tcPr>
          <w:p>
            <w:r>
              <w:rPr>
                <w:rFonts w:ascii="Calibri" w:hAnsi="Calibri"/>
                <w:sz w:val="22"/>
              </w:rPr>
              <w:t>Jun 4, 2026</w:t>
            </w:r>
          </w:p>
        </w:tc>
        <w:tc>
          <w:tcPr>
            <w:tcW w:type="dxa" w:w="1234"/>
          </w:tcPr>
          <w:p>
            <w:r>
              <w:rPr>
                <w:rFonts w:ascii="Calibri" w:hAnsi="Calibri"/>
                <w:sz w:val="22"/>
              </w:rPr>
              <w:t>Discretionary sale; not flagged as 10b5-1; notable given CEO status; ~$210/share</w:t>
            </w:r>
          </w:p>
        </w:tc>
      </w:tr>
      <w:tr>
        <w:tc>
          <w:tcPr>
            <w:tcW w:type="dxa" w:w="1234"/>
          </w:tcPr>
          <w:p>
            <w:r>
              <w:rPr>
                <w:rFonts w:ascii="Calibri" w:hAnsi="Calibri"/>
                <w:sz w:val="22"/>
              </w:rPr>
              <w:t>Charles Alvin Meloy</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83,334</w:t>
            </w:r>
          </w:p>
        </w:tc>
        <w:tc>
          <w:tcPr>
            <w:tcW w:type="dxa" w:w="1234"/>
          </w:tcPr>
          <w:p>
            <w:r>
              <w:rPr>
                <w:rFonts w:ascii="Calibri" w:hAnsi="Calibri"/>
                <w:sz w:val="22"/>
              </w:rPr>
              <w:t>Jun 16, 2026</w:t>
            </w:r>
          </w:p>
        </w:tc>
        <w:tc>
          <w:tcPr>
            <w:tcW w:type="dxa" w:w="1234"/>
          </w:tcPr>
          <w:p>
            <w:r>
              <w:rPr>
                <w:rFonts w:ascii="Calibri" w:hAnsi="Calibri"/>
                <w:sz w:val="22"/>
              </w:rPr>
              <w:t>Jun 17, 2026</w:t>
            </w:r>
          </w:p>
        </w:tc>
        <w:tc>
          <w:tcPr>
            <w:tcW w:type="dxa" w:w="1234"/>
          </w:tcPr>
          <w:p>
            <w:r>
              <w:rPr>
                <w:rFonts w:ascii="Calibri" w:hAnsi="Calibri"/>
                <w:sz w:val="22"/>
              </w:rPr>
              <w:t>Via Wolfrock Energy LLC; 10b5-1 plan — pre-scheduled</w:t>
            </w:r>
          </w:p>
        </w:tc>
      </w:tr>
      <w:tr>
        <w:tc>
          <w:tcPr>
            <w:tcW w:type="dxa" w:w="1234"/>
          </w:tcPr>
          <w:p>
            <w:r>
              <w:rPr>
                <w:rFonts w:ascii="Calibri" w:hAnsi="Calibri"/>
                <w:sz w:val="22"/>
              </w:rPr>
              <w:t>Teresa L. Dick</w:t>
            </w:r>
          </w:p>
        </w:tc>
        <w:tc>
          <w:tcPr>
            <w:tcW w:type="dxa" w:w="1234"/>
          </w:tcPr>
          <w:p>
            <w:r>
              <w:rPr>
                <w:rFonts w:ascii="Calibri" w:hAnsi="Calibri"/>
                <w:sz w:val="22"/>
              </w:rPr>
              <w:t>CAO, EVP</w:t>
            </w:r>
          </w:p>
        </w:tc>
        <w:tc>
          <w:tcPr>
            <w:tcW w:type="dxa" w:w="1234"/>
          </w:tcPr>
          <w:p>
            <w:r>
              <w:rPr>
                <w:rFonts w:ascii="Calibri" w:hAnsi="Calibri"/>
                <w:sz w:val="22"/>
              </w:rPr>
              <w:t>Open Market Sale</w:t>
            </w:r>
          </w:p>
        </w:tc>
        <w:tc>
          <w:tcPr>
            <w:tcW w:type="dxa" w:w="1234"/>
          </w:tcPr>
          <w:p>
            <w:r>
              <w:rPr>
                <w:rFonts w:ascii="Calibri" w:hAnsi="Calibri"/>
                <w:sz w:val="22"/>
              </w:rPr>
              <w:t>5,000</w:t>
            </w:r>
          </w:p>
        </w:tc>
        <w:tc>
          <w:tcPr>
            <w:tcW w:type="dxa" w:w="1234"/>
          </w:tcPr>
          <w:p>
            <w:r>
              <w:rPr>
                <w:rFonts w:ascii="Calibri" w:hAnsi="Calibri"/>
                <w:sz w:val="22"/>
              </w:rPr>
              <w:t>Jun 4, 2026</w:t>
            </w:r>
          </w:p>
        </w:tc>
        <w:tc>
          <w:tcPr>
            <w:tcW w:type="dxa" w:w="1234"/>
          </w:tcPr>
          <w:p>
            <w:r>
              <w:rPr>
                <w:rFonts w:ascii="Calibri" w:hAnsi="Calibri"/>
                <w:sz w:val="22"/>
              </w:rPr>
              <w:t>Jun 8, 2026</w:t>
            </w:r>
          </w:p>
        </w:tc>
        <w:tc>
          <w:tcPr>
            <w:tcW w:type="dxa" w:w="1234"/>
          </w:tcPr>
          <w:p>
            <w:r>
              <w:rPr>
                <w:rFonts w:ascii="Calibri" w:hAnsi="Calibri"/>
                <w:sz w:val="22"/>
              </w:rPr>
              <w:t>Discretionary sale</w:t>
            </w:r>
          </w:p>
        </w:tc>
      </w:tr>
      <w:tr>
        <w:tc>
          <w:tcPr>
            <w:tcW w:type="dxa" w:w="1234"/>
          </w:tcPr>
          <w:p>
            <w:r>
              <w:rPr>
                <w:rFonts w:ascii="Calibri" w:hAnsi="Calibri"/>
                <w:sz w:val="22"/>
              </w:rPr>
              <w:t>Matt Zmigrosky</w:t>
            </w:r>
          </w:p>
        </w:tc>
        <w:tc>
          <w:tcPr>
            <w:tcW w:type="dxa" w:w="1234"/>
          </w:tcPr>
          <w:p>
            <w:r>
              <w:rPr>
                <w:rFonts w:ascii="Calibri" w:hAnsi="Calibri"/>
                <w:sz w:val="22"/>
              </w:rPr>
              <w:t>EVP, Chief Legal</w:t>
            </w:r>
          </w:p>
        </w:tc>
        <w:tc>
          <w:tcPr>
            <w:tcW w:type="dxa" w:w="1234"/>
          </w:tcPr>
          <w:p>
            <w:r>
              <w:rPr>
                <w:rFonts w:ascii="Calibri" w:hAnsi="Calibri"/>
                <w:sz w:val="22"/>
              </w:rPr>
              <w:t>Open Market Sale</w:t>
            </w:r>
          </w:p>
        </w:tc>
        <w:tc>
          <w:tcPr>
            <w:tcW w:type="dxa" w:w="1234"/>
          </w:tcPr>
          <w:p>
            <w:r>
              <w:rPr>
                <w:rFonts w:ascii="Calibri" w:hAnsi="Calibri"/>
                <w:sz w:val="22"/>
              </w:rPr>
              <w:t>5,000</w:t>
            </w:r>
          </w:p>
        </w:tc>
        <w:tc>
          <w:tcPr>
            <w:tcW w:type="dxa" w:w="1234"/>
          </w:tcPr>
          <w:p>
            <w:r>
              <w:rPr>
                <w:rFonts w:ascii="Calibri" w:hAnsi="Calibri"/>
                <w:sz w:val="22"/>
              </w:rPr>
              <w:t>Jun 3, 2026</w:t>
            </w:r>
          </w:p>
        </w:tc>
        <w:tc>
          <w:tcPr>
            <w:tcW w:type="dxa" w:w="1234"/>
          </w:tcPr>
          <w:p>
            <w:r>
              <w:rPr>
                <w:rFonts w:ascii="Calibri" w:hAnsi="Calibri"/>
                <w:sz w:val="22"/>
              </w:rPr>
              <w:t>Jun 4, 2026</w:t>
            </w:r>
          </w:p>
        </w:tc>
        <w:tc>
          <w:tcPr>
            <w:tcW w:type="dxa" w:w="1234"/>
          </w:tcPr>
          <w:p>
            <w:r>
              <w:rPr>
                <w:rFonts w:ascii="Calibri" w:hAnsi="Calibri"/>
                <w:sz w:val="22"/>
              </w:rPr>
              <w:t>Discretionary sale</w:t>
            </w:r>
          </w:p>
        </w:tc>
      </w:tr>
      <w:tr>
        <w:tc>
          <w:tcPr>
            <w:tcW w:type="dxa" w:w="1234"/>
          </w:tcPr>
          <w:p>
            <w:r>
              <w:rPr>
                <w:rFonts w:ascii="Calibri" w:hAnsi="Calibri"/>
                <w:sz w:val="22"/>
              </w:rPr>
              <w:t>Teresa L. Dick</w:t>
            </w:r>
          </w:p>
        </w:tc>
        <w:tc>
          <w:tcPr>
            <w:tcW w:type="dxa" w:w="1234"/>
          </w:tcPr>
          <w:p>
            <w:r>
              <w:rPr>
                <w:rFonts w:ascii="Calibri" w:hAnsi="Calibri"/>
                <w:sz w:val="22"/>
              </w:rPr>
              <w:t>CAO, EVP</w:t>
            </w:r>
          </w:p>
        </w:tc>
        <w:tc>
          <w:tcPr>
            <w:tcW w:type="dxa" w:w="1234"/>
          </w:tcPr>
          <w:p>
            <w:r>
              <w:rPr>
                <w:rFonts w:ascii="Calibri" w:hAnsi="Calibri"/>
                <w:sz w:val="22"/>
              </w:rPr>
              <w:t>Open Market Sale</w:t>
            </w:r>
          </w:p>
        </w:tc>
        <w:tc>
          <w:tcPr>
            <w:tcW w:type="dxa" w:w="1234"/>
          </w:tcPr>
          <w:p>
            <w:r>
              <w:rPr>
                <w:rFonts w:ascii="Calibri" w:hAnsi="Calibri"/>
                <w:sz w:val="22"/>
              </w:rPr>
              <w:t>7,000</w:t>
            </w:r>
          </w:p>
        </w:tc>
        <w:tc>
          <w:tcPr>
            <w:tcW w:type="dxa" w:w="1234"/>
          </w:tcPr>
          <w:p>
            <w:r>
              <w:rPr>
                <w:rFonts w:ascii="Calibri" w:hAnsi="Calibri"/>
                <w:sz w:val="22"/>
              </w:rPr>
              <w:t>Jun 2, 2026</w:t>
            </w:r>
          </w:p>
        </w:tc>
        <w:tc>
          <w:tcPr>
            <w:tcW w:type="dxa" w:w="1234"/>
          </w:tcPr>
          <w:p>
            <w:r>
              <w:rPr>
                <w:rFonts w:ascii="Calibri" w:hAnsi="Calibri"/>
                <w:sz w:val="22"/>
              </w:rPr>
              <w:t>Jun 2, 2026</w:t>
            </w:r>
          </w:p>
        </w:tc>
        <w:tc>
          <w:tcPr>
            <w:tcW w:type="dxa" w:w="1234"/>
          </w:tcPr>
          <w:p>
            <w:r>
              <w:rPr>
                <w:rFonts w:ascii="Calibri" w:hAnsi="Calibri"/>
                <w:sz w:val="22"/>
              </w:rPr>
              <w:t>Discretionary sale</w:t>
            </w:r>
          </w:p>
        </w:tc>
      </w:tr>
      <w:tr>
        <w:tc>
          <w:tcPr>
            <w:tcW w:type="dxa" w:w="1234"/>
          </w:tcPr>
          <w:p>
            <w:r>
              <w:rPr>
                <w:rFonts w:ascii="Calibri" w:hAnsi="Calibri"/>
                <w:sz w:val="22"/>
              </w:rPr>
              <w:t>Matt Zmigrosky</w:t>
            </w:r>
          </w:p>
        </w:tc>
        <w:tc>
          <w:tcPr>
            <w:tcW w:type="dxa" w:w="1234"/>
          </w:tcPr>
          <w:p>
            <w:r>
              <w:rPr>
                <w:rFonts w:ascii="Calibri" w:hAnsi="Calibri"/>
                <w:sz w:val="22"/>
              </w:rPr>
              <w:t>EVP, Chief Legal</w:t>
            </w:r>
          </w:p>
        </w:tc>
        <w:tc>
          <w:tcPr>
            <w:tcW w:type="dxa" w:w="1234"/>
          </w:tcPr>
          <w:p>
            <w:r>
              <w:rPr>
                <w:rFonts w:ascii="Calibri" w:hAnsi="Calibri"/>
                <w:sz w:val="22"/>
              </w:rPr>
              <w:t>Open Market Sale</w:t>
            </w:r>
          </w:p>
        </w:tc>
        <w:tc>
          <w:tcPr>
            <w:tcW w:type="dxa" w:w="1234"/>
          </w:tcPr>
          <w:p>
            <w:r>
              <w:rPr>
                <w:rFonts w:ascii="Calibri" w:hAnsi="Calibri"/>
                <w:sz w:val="22"/>
              </w:rPr>
              <w:t>5,000</w:t>
            </w:r>
          </w:p>
        </w:tc>
        <w:tc>
          <w:tcPr>
            <w:tcW w:type="dxa" w:w="1234"/>
          </w:tcPr>
          <w:p>
            <w:r>
              <w:rPr>
                <w:rFonts w:ascii="Calibri" w:hAnsi="Calibri"/>
                <w:sz w:val="22"/>
              </w:rPr>
              <w:t>Jun 1, 2026</w:t>
            </w:r>
          </w:p>
        </w:tc>
        <w:tc>
          <w:tcPr>
            <w:tcW w:type="dxa" w:w="1234"/>
          </w:tcPr>
          <w:p>
            <w:r>
              <w:rPr>
                <w:rFonts w:ascii="Calibri" w:hAnsi="Calibri"/>
                <w:sz w:val="22"/>
              </w:rPr>
              <w:t>Jun 2, 2026</w:t>
            </w:r>
          </w:p>
        </w:tc>
        <w:tc>
          <w:tcPr>
            <w:tcW w:type="dxa" w:w="1234"/>
          </w:tcPr>
          <w:p>
            <w:r>
              <w:rPr>
                <w:rFonts w:ascii="Calibri" w:hAnsi="Calibri"/>
                <w:sz w:val="22"/>
              </w:rPr>
              <w:t>Discretionary sale</w:t>
            </w:r>
          </w:p>
        </w:tc>
      </w:tr>
      <w:tr>
        <w:tc>
          <w:tcPr>
            <w:tcW w:type="dxa" w:w="1234"/>
          </w:tcPr>
          <w:p>
            <w:r>
              <w:rPr>
                <w:rFonts w:ascii="Calibri" w:hAnsi="Calibri"/>
                <w:sz w:val="22"/>
              </w:rPr>
              <w:t>Albert Barkmann</w:t>
            </w:r>
          </w:p>
        </w:tc>
        <w:tc>
          <w:tcPr>
            <w:tcW w:type="dxa" w:w="1234"/>
          </w:tcPr>
          <w:p>
            <w:r>
              <w:rPr>
                <w:rFonts w:ascii="Calibri" w:hAnsi="Calibri"/>
                <w:sz w:val="22"/>
              </w:rPr>
              <w:t>EVP, Chief Engineer</w:t>
            </w:r>
          </w:p>
        </w:tc>
        <w:tc>
          <w:tcPr>
            <w:tcW w:type="dxa" w:w="1234"/>
          </w:tcPr>
          <w:p>
            <w:r>
              <w:rPr>
                <w:rFonts w:ascii="Calibri" w:hAnsi="Calibri"/>
                <w:sz w:val="22"/>
              </w:rPr>
              <w:t>Open Market Sale</w:t>
            </w:r>
          </w:p>
        </w:tc>
        <w:tc>
          <w:tcPr>
            <w:tcW w:type="dxa" w:w="1234"/>
          </w:tcPr>
          <w:p>
            <w:r>
              <w:rPr>
                <w:rFonts w:ascii="Calibri" w:hAnsi="Calibri"/>
                <w:sz w:val="22"/>
              </w:rPr>
              <w:t>3,000</w:t>
            </w:r>
          </w:p>
        </w:tc>
        <w:tc>
          <w:tcPr>
            <w:tcW w:type="dxa" w:w="1234"/>
          </w:tcPr>
          <w:p>
            <w:r>
              <w:rPr>
                <w:rFonts w:ascii="Calibri" w:hAnsi="Calibri"/>
                <w:sz w:val="22"/>
              </w:rPr>
              <w:t>May 15, 2026</w:t>
            </w:r>
          </w:p>
        </w:tc>
        <w:tc>
          <w:tcPr>
            <w:tcW w:type="dxa" w:w="1234"/>
          </w:tcPr>
          <w:p>
            <w:r>
              <w:rPr>
                <w:rFonts w:ascii="Calibri" w:hAnsi="Calibri"/>
                <w:sz w:val="22"/>
              </w:rPr>
              <w:t>May 19, 2026</w:t>
            </w:r>
          </w:p>
        </w:tc>
        <w:tc>
          <w:tcPr>
            <w:tcW w:type="dxa" w:w="1234"/>
          </w:tcPr>
          <w:p>
            <w:r>
              <w:rPr>
                <w:rFonts w:ascii="Calibri" w:hAnsi="Calibri"/>
                <w:sz w:val="22"/>
              </w:rPr>
              <w:t>Post-earnings window sale</w:t>
            </w:r>
          </w:p>
        </w:tc>
      </w:tr>
      <w:tr>
        <w:tc>
          <w:tcPr>
            <w:tcW w:type="dxa" w:w="1234"/>
          </w:tcPr>
          <w:p>
            <w:r>
              <w:rPr>
                <w:rFonts w:ascii="Calibri" w:hAnsi="Calibri"/>
                <w:sz w:val="22"/>
              </w:rPr>
              <w:t>Jere W. Thompson III</w:t>
            </w:r>
          </w:p>
        </w:tc>
        <w:tc>
          <w:tcPr>
            <w:tcW w:type="dxa" w:w="1234"/>
          </w:tcPr>
          <w:p>
            <w:r>
              <w:rPr>
                <w:rFonts w:ascii="Calibri" w:hAnsi="Calibri"/>
                <w:sz w:val="22"/>
              </w:rPr>
              <w:t>CFO, EVP</w:t>
            </w:r>
          </w:p>
        </w:tc>
        <w:tc>
          <w:tcPr>
            <w:tcW w:type="dxa" w:w="1234"/>
          </w:tcPr>
          <w:p>
            <w:r>
              <w:rPr>
                <w:rFonts w:ascii="Calibri" w:hAnsi="Calibri"/>
                <w:sz w:val="22"/>
              </w:rPr>
              <w:t>Open Market Sale</w:t>
            </w:r>
          </w:p>
        </w:tc>
        <w:tc>
          <w:tcPr>
            <w:tcW w:type="dxa" w:w="1234"/>
          </w:tcPr>
          <w:p>
            <w:r>
              <w:rPr>
                <w:rFonts w:ascii="Calibri" w:hAnsi="Calibri"/>
                <w:sz w:val="22"/>
              </w:rPr>
              <w:t>1,000</w:t>
            </w:r>
          </w:p>
        </w:tc>
        <w:tc>
          <w:tcPr>
            <w:tcW w:type="dxa" w:w="1234"/>
          </w:tcPr>
          <w:p>
            <w:r>
              <w:rPr>
                <w:rFonts w:ascii="Calibri" w:hAnsi="Calibri"/>
                <w:sz w:val="22"/>
              </w:rPr>
              <w:t>May 15, 2026</w:t>
            </w:r>
          </w:p>
        </w:tc>
        <w:tc>
          <w:tcPr>
            <w:tcW w:type="dxa" w:w="1234"/>
          </w:tcPr>
          <w:p>
            <w:r>
              <w:rPr>
                <w:rFonts w:ascii="Calibri" w:hAnsi="Calibri"/>
                <w:sz w:val="22"/>
              </w:rPr>
              <w:t>May 19, 2026</w:t>
            </w:r>
          </w:p>
        </w:tc>
        <w:tc>
          <w:tcPr>
            <w:tcW w:type="dxa" w:w="1234"/>
          </w:tcPr>
          <w:p>
            <w:r>
              <w:rPr>
                <w:rFonts w:ascii="Calibri" w:hAnsi="Calibri"/>
                <w:sz w:val="22"/>
              </w:rPr>
              <w:t>Post-earnings window sale</w:t>
            </w:r>
          </w:p>
        </w:tc>
      </w:tr>
      <w:tr>
        <w:tc>
          <w:tcPr>
            <w:tcW w:type="dxa" w:w="1234"/>
          </w:tcPr>
          <w:p>
            <w:r>
              <w:rPr>
                <w:rFonts w:ascii="Calibri" w:hAnsi="Calibri"/>
                <w:sz w:val="22"/>
              </w:rPr>
              <w:t>Teresa L. Dick</w:t>
            </w:r>
          </w:p>
        </w:tc>
        <w:tc>
          <w:tcPr>
            <w:tcW w:type="dxa" w:w="1234"/>
          </w:tcPr>
          <w:p>
            <w:r>
              <w:rPr>
                <w:rFonts w:ascii="Calibri" w:hAnsi="Calibri"/>
                <w:sz w:val="22"/>
              </w:rPr>
              <w:t>CAO, EVP</w:t>
            </w:r>
          </w:p>
        </w:tc>
        <w:tc>
          <w:tcPr>
            <w:tcW w:type="dxa" w:w="1234"/>
          </w:tcPr>
          <w:p>
            <w:r>
              <w:rPr>
                <w:rFonts w:ascii="Calibri" w:hAnsi="Calibri"/>
                <w:sz w:val="22"/>
              </w:rPr>
              <w:t>Open Market Sale</w:t>
            </w:r>
          </w:p>
        </w:tc>
        <w:tc>
          <w:tcPr>
            <w:tcW w:type="dxa" w:w="1234"/>
          </w:tcPr>
          <w:p>
            <w:r>
              <w:rPr>
                <w:rFonts w:ascii="Calibri" w:hAnsi="Calibri"/>
                <w:sz w:val="22"/>
              </w:rPr>
              <w:t>5,000</w:t>
            </w:r>
          </w:p>
        </w:tc>
        <w:tc>
          <w:tcPr>
            <w:tcW w:type="dxa" w:w="1234"/>
          </w:tcPr>
          <w:p>
            <w:r>
              <w:rPr>
                <w:rFonts w:ascii="Calibri" w:hAnsi="Calibri"/>
                <w:sz w:val="22"/>
              </w:rPr>
              <w:t>May 14, 2026</w:t>
            </w:r>
          </w:p>
        </w:tc>
        <w:tc>
          <w:tcPr>
            <w:tcW w:type="dxa" w:w="1234"/>
          </w:tcPr>
          <w:p>
            <w:r>
              <w:rPr>
                <w:rFonts w:ascii="Calibri" w:hAnsi="Calibri"/>
                <w:sz w:val="22"/>
              </w:rPr>
              <w:t>May 14, 2026</w:t>
            </w:r>
          </w:p>
        </w:tc>
        <w:tc>
          <w:tcPr>
            <w:tcW w:type="dxa" w:w="1234"/>
          </w:tcPr>
          <w:p>
            <w:r>
              <w:rPr>
                <w:rFonts w:ascii="Calibri" w:hAnsi="Calibri"/>
                <w:sz w:val="22"/>
              </w:rPr>
              <w:t>Post-earnings window sale</w:t>
            </w:r>
          </w:p>
        </w:tc>
      </w:tr>
      <w:tr>
        <w:tc>
          <w:tcPr>
            <w:tcW w:type="dxa" w:w="1234"/>
          </w:tcPr>
          <w:p>
            <w:r>
              <w:rPr>
                <w:rFonts w:ascii="Calibri" w:hAnsi="Calibri"/>
                <w:sz w:val="22"/>
              </w:rPr>
              <w:t>Matt Zmigrosky</w:t>
            </w:r>
          </w:p>
        </w:tc>
        <w:tc>
          <w:tcPr>
            <w:tcW w:type="dxa" w:w="1234"/>
          </w:tcPr>
          <w:p>
            <w:r>
              <w:rPr>
                <w:rFonts w:ascii="Calibri" w:hAnsi="Calibri"/>
                <w:sz w:val="22"/>
              </w:rPr>
              <w:t>EVP, Chief Legal</w:t>
            </w:r>
          </w:p>
        </w:tc>
        <w:tc>
          <w:tcPr>
            <w:tcW w:type="dxa" w:w="1234"/>
          </w:tcPr>
          <w:p>
            <w:r>
              <w:rPr>
                <w:rFonts w:ascii="Calibri" w:hAnsi="Calibri"/>
                <w:sz w:val="22"/>
              </w:rPr>
              <w:t>Open Market Sale</w:t>
            </w:r>
          </w:p>
        </w:tc>
        <w:tc>
          <w:tcPr>
            <w:tcW w:type="dxa" w:w="1234"/>
          </w:tcPr>
          <w:p>
            <w:r>
              <w:rPr>
                <w:rFonts w:ascii="Calibri" w:hAnsi="Calibri"/>
                <w:sz w:val="22"/>
              </w:rPr>
              <w:t>5,000</w:t>
            </w:r>
          </w:p>
        </w:tc>
        <w:tc>
          <w:tcPr>
            <w:tcW w:type="dxa" w:w="1234"/>
          </w:tcPr>
          <w:p>
            <w:r>
              <w:rPr>
                <w:rFonts w:ascii="Calibri" w:hAnsi="Calibri"/>
                <w:sz w:val="22"/>
              </w:rPr>
              <w:t>May 13, 2026</w:t>
            </w:r>
          </w:p>
        </w:tc>
        <w:tc>
          <w:tcPr>
            <w:tcW w:type="dxa" w:w="1234"/>
          </w:tcPr>
          <w:p>
            <w:r>
              <w:rPr>
                <w:rFonts w:ascii="Calibri" w:hAnsi="Calibri"/>
                <w:sz w:val="22"/>
              </w:rPr>
              <w:t>May 14, 2026</w:t>
            </w:r>
          </w:p>
        </w:tc>
        <w:tc>
          <w:tcPr>
            <w:tcW w:type="dxa" w:w="1234"/>
          </w:tcPr>
          <w:p>
            <w:r>
              <w:rPr>
                <w:rFonts w:ascii="Calibri" w:hAnsi="Calibri"/>
                <w:sz w:val="22"/>
              </w:rPr>
              <w:t>Post-earnings window sale</w:t>
            </w:r>
          </w:p>
        </w:tc>
      </w:tr>
      <w:tr>
        <w:tc>
          <w:tcPr>
            <w:tcW w:type="dxa" w:w="1234"/>
          </w:tcPr>
          <w:p>
            <w:r>
              <w:rPr>
                <w:rFonts w:ascii="Calibri" w:hAnsi="Calibri"/>
                <w:sz w:val="22"/>
              </w:rPr>
              <w:t>Charles Alvin Meloy</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7,857</w:t>
            </w:r>
          </w:p>
        </w:tc>
        <w:tc>
          <w:tcPr>
            <w:tcW w:type="dxa" w:w="1234"/>
          </w:tcPr>
          <w:p>
            <w:r>
              <w:rPr>
                <w:rFonts w:ascii="Calibri" w:hAnsi="Calibri"/>
                <w:sz w:val="22"/>
              </w:rPr>
              <w:t>May 7, 2026</w:t>
            </w:r>
          </w:p>
        </w:tc>
        <w:tc>
          <w:tcPr>
            <w:tcW w:type="dxa" w:w="1234"/>
          </w:tcPr>
          <w:p>
            <w:r>
              <w:rPr>
                <w:rFonts w:ascii="Calibri" w:hAnsi="Calibri"/>
                <w:sz w:val="22"/>
              </w:rPr>
              <w:t>May 11, 2026</w:t>
            </w:r>
          </w:p>
        </w:tc>
        <w:tc>
          <w:tcPr>
            <w:tcW w:type="dxa" w:w="1234"/>
          </w:tcPr>
          <w:p>
            <w:r>
              <w:rPr>
                <w:rFonts w:ascii="Calibri" w:hAnsi="Calibri"/>
                <w:sz w:val="22"/>
              </w:rPr>
              <w:t>Via Wolfrock Energy LLC; 10b5-1 plan</w:t>
            </w:r>
          </w:p>
        </w:tc>
      </w:tr>
      <w:tr>
        <w:tc>
          <w:tcPr>
            <w:tcW w:type="dxa" w:w="1234"/>
          </w:tcPr>
          <w:p>
            <w:r>
              <w:rPr>
                <w:rFonts w:ascii="Calibri" w:hAnsi="Calibri"/>
                <w:sz w:val="22"/>
              </w:rPr>
              <w:t>Charles Alvin Meloy</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7,857</w:t>
            </w:r>
          </w:p>
        </w:tc>
        <w:tc>
          <w:tcPr>
            <w:tcW w:type="dxa" w:w="1234"/>
          </w:tcPr>
          <w:p>
            <w:r>
              <w:rPr>
                <w:rFonts w:ascii="Calibri" w:hAnsi="Calibri"/>
                <w:sz w:val="22"/>
              </w:rPr>
              <w:t>May 8, 2026</w:t>
            </w:r>
          </w:p>
        </w:tc>
        <w:tc>
          <w:tcPr>
            <w:tcW w:type="dxa" w:w="1234"/>
          </w:tcPr>
          <w:p>
            <w:r>
              <w:rPr>
                <w:rFonts w:ascii="Calibri" w:hAnsi="Calibri"/>
                <w:sz w:val="22"/>
              </w:rPr>
              <w:t>May 11, 2026</w:t>
            </w:r>
          </w:p>
        </w:tc>
        <w:tc>
          <w:tcPr>
            <w:tcW w:type="dxa" w:w="1234"/>
          </w:tcPr>
          <w:p>
            <w:r>
              <w:rPr>
                <w:rFonts w:ascii="Calibri" w:hAnsi="Calibri"/>
                <w:sz w:val="22"/>
              </w:rPr>
              <w:t>Via Wolfrock Energy LLC; 10b5-1 plan</w:t>
            </w:r>
          </w:p>
        </w:tc>
      </w:tr>
    </w:tbl>
    <w:p>
      <w:r>
        <w:rPr>
          <w:rFonts w:ascii="Calibri" w:hAnsi="Calibri"/>
          <w:i/>
          <w:color w:val="525866"/>
          <w:sz w:val="22"/>
        </w:rPr>
        <w:t xml:space="preserve">Note: </w:t>
      </w:r>
      <w:r>
        <w:rPr>
          <w:rFonts w:ascii="Calibri" w:hAnsi="Calibri"/>
          <w:i/>
          <w:color w:val="525866"/>
          <w:sz w:val="22"/>
        </w:rPr>
        <w:t>No open-market buys were recorded in the period. The CEO's 15,000-share discretionary sale on June 3, 2026 (disclosed June 4) is the most notable transaction — it is not flagged as a 10b5-1 plan and occurred at approximately $210/share, near the post-Q1 high. The 10-million-share sale by 10% owner Lyndal Greth is large in absolute terms but may reflect portfolio rebalancing rather than a fundamental view. Multiple director/executive sales in May 2026 are consistent with routine post-earnings window selling following the Q1 beat. Source: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