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Diamondback Energy (FANG)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Diamondback Energy, Inc.</w:t>
            </w:r>
          </w:p>
        </w:tc>
      </w:tr>
      <w:tr>
        <w:tc>
          <w:tcPr>
            <w:tcW w:type="dxa" w:w="4320"/>
          </w:tcPr>
          <w:p>
            <w:r>
              <w:rPr>
                <w:rFonts w:ascii="Calibri" w:hAnsi="Calibri"/>
                <w:b/>
                <w:sz w:val="22"/>
              </w:rPr>
              <w:t>Ticker</w:t>
            </w:r>
          </w:p>
        </w:tc>
        <w:tc>
          <w:tcPr>
            <w:tcW w:type="dxa" w:w="4320"/>
          </w:tcPr>
          <w:p>
            <w:r>
              <w:rPr>
                <w:rFonts w:ascii="Calibri" w:hAnsi="Calibri"/>
                <w:sz w:val="22"/>
              </w:rPr>
              <w:t>FANG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9:00 AM ET</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Last Earnings</w:t>
            </w:r>
          </w:p>
        </w:tc>
        <w:tc>
          <w:tcPr>
            <w:tcW w:type="dxa" w:w="4320"/>
          </w:tcPr>
          <w:p>
            <w:r>
              <w:rPr>
                <w:rFonts w:ascii="Calibri" w:hAnsi="Calibri"/>
                <w:sz w:val="22"/>
              </w:rPr>
              <w:t>May 4–5,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constructive — consensus is a manageable bar given pre-announced realized oil prices of </w:t>
      </w:r>
      <w:r>
        <w:rPr>
          <w:rFonts w:ascii="Calibri" w:hAnsi="Calibri"/>
          <w:b/>
          <w:color w:val="525866"/>
          <w:sz w:val="22"/>
        </w:rPr>
        <w:t>$96.82/bbl unhedged</w:t>
      </w:r>
      <w:r>
        <w:rPr>
          <w:rFonts w:ascii="Calibri" w:hAnsi="Calibri"/>
          <w:color w:val="525866"/>
          <w:sz w:val="22"/>
        </w:rPr>
        <w:t xml:space="preserve"> in Q2, well above Q1’s $73.47/bbl, and the single biggest swing factor is whether FANG’s production volume comes in at or above the guided 515–525 MBO/d range.</w:t>
      </w:r>
    </w:p>
    <w:p>
      <w:r>
        <w:rPr>
          <w:rFonts w:ascii="Calibri" w:hAnsi="Calibri"/>
          <w:color w:val="525866"/>
          <w:sz w:val="22"/>
        </w:rPr>
        <w:t xml:space="preserve">Heading into the Q2 2026 print, Diamondback enters with a compelling macro tailwind: the U.S.-Iran conflict drove Brent crude to an average of ~$96.68/bbl in Q2, a 23% sequential jump, and FANG pre-announced unhedged oil realizations of </w:t>
      </w:r>
      <w:r>
        <w:rPr>
          <w:rFonts w:ascii="Calibri" w:hAnsi="Calibri"/>
          <w:b/>
          <w:color w:val="525866"/>
          <w:sz w:val="22"/>
        </w:rPr>
        <w:t>$96.82/bbl</w:t>
      </w:r>
      <w:r>
        <w:rPr>
          <w:rFonts w:ascii="Calibri" w:hAnsi="Calibri"/>
          <w:color w:val="525866"/>
          <w:sz w:val="22"/>
        </w:rPr>
        <w:t xml:space="preserve"> (hedged: $94.33/bbl) on July 13 — removing the largest source of revenue uncertainty before the call. Consensus EPS has surged from ~$3.60 at last earnings to </w:t>
      </w:r>
      <w:r>
        <w:rPr>
          <w:rFonts w:ascii="Calibri" w:hAnsi="Calibri"/>
          <w:b/>
          <w:color w:val="525866"/>
          <w:sz w:val="22"/>
        </w:rPr>
        <w:t>$5.96</w:t>
      </w:r>
      <w:r>
        <w:rPr>
          <w:rFonts w:ascii="Calibri" w:hAnsi="Calibri"/>
          <w:color w:val="525866"/>
          <w:sz w:val="22"/>
        </w:rPr>
        <w:t xml:space="preserve"> currently, reflecting the oil price windfall, yet the bar still appears beatable given FANG’s Q1 operational outperformance (production beat, AI/automation-driven downtime reduction) and the company’s stated intent to draw down its DUC backlog in Q2 to support volumes. Management shifted decisively to a </w:t>
      </w:r>
      <w:r>
        <w:rPr>
          <w:rFonts w:ascii="Calibri" w:hAnsi="Calibri"/>
          <w:b/>
          <w:color w:val="525866"/>
          <w:sz w:val="22"/>
        </w:rPr>
        <w:t>“green light” framework</w:t>
      </w:r>
      <w:r>
        <w:rPr>
          <w:rFonts w:ascii="Calibri" w:hAnsi="Calibri"/>
          <w:color w:val="525866"/>
          <w:sz w:val="22"/>
        </w:rPr>
        <w:t xml:space="preserve"> on the Q1 call — adding 2–3 rigs and a fifth frack crew — signaling confidence in the macro and operational execution; tone has not wavered since. The stock has recovered from its post-Q1 dip to trade near $203, roughly flat since last earnings (indexed), while XOP has also recovered, suggesting the market is pricing in a solid but not blowout quarter. The key wildcard is </w:t>
      </w:r>
      <w:r>
        <w:rPr>
          <w:rFonts w:ascii="Calibri" w:hAnsi="Calibri"/>
          <w:b/>
          <w:color w:val="525866"/>
          <w:sz w:val="22"/>
        </w:rPr>
        <w:t>natural gas / Waha pricing</w:t>
      </w:r>
      <w:r>
        <w:rPr>
          <w:rFonts w:ascii="Calibri" w:hAnsi="Calibri"/>
          <w:color w:val="525866"/>
          <w:sz w:val="22"/>
        </w:rPr>
        <w:t>: Waha basis remained deeply negative in Q2 (FANG pre-announced natural gas realizations of -$2.15/Mcf unhedged), and any commentary on the pace of new pipeline egress capacity coming online in H2 2026 could move the stock more than the headline EPS number.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 the pre-announced oil price of $96.82/bbl unhedged removes the biggest revenue uncertainty, and the bigger swing factor is </w:t>
      </w:r>
      <w:r>
        <w:rPr>
          <w:rFonts w:ascii="Calibri" w:hAnsi="Calibri"/>
          <w:b/>
          <w:color w:val="525866"/>
          <w:sz w:val="22"/>
        </w:rPr>
        <w:t>oil production volume</w:t>
      </w:r>
      <w:r>
        <w:rPr>
          <w:rFonts w:ascii="Calibri" w:hAnsi="Calibri"/>
          <w:color w:val="525866"/>
          <w:sz w:val="22"/>
        </w:rPr>
        <w:t xml:space="preserve"> vs. the 515–525 MBO/d guidance range.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EPS — Diluted ($)</w:t>
            </w:r>
          </w:p>
        </w:tc>
        <w:tc>
          <w:tcPr>
            <w:tcW w:type="dxa" w:w="1234"/>
          </w:tcPr>
          <w:p>
            <w:r>
              <w:rPr>
                <w:rFonts w:ascii="Calibri" w:hAnsi="Calibri"/>
                <w:sz w:val="22"/>
              </w:rPr>
              <w:t>$4.24</w:t>
            </w:r>
          </w:p>
        </w:tc>
        <w:tc>
          <w:tcPr>
            <w:tcW w:type="dxa" w:w="1234"/>
          </w:tcPr>
          <w:p>
            <w:r>
              <w:rPr>
                <w:rFonts w:ascii="Calibri" w:hAnsi="Calibri"/>
                <w:sz w:val="22"/>
              </w:rPr>
              <w:t>$2.69</w:t>
            </w:r>
          </w:p>
        </w:tc>
        <w:tc>
          <w:tcPr>
            <w:tcW w:type="dxa" w:w="1234"/>
          </w:tcPr>
          <w:p>
            <w:r>
              <w:rPr>
                <w:rFonts w:ascii="Calibri" w:hAnsi="Calibri"/>
                <w:sz w:val="22"/>
              </w:rPr>
              <w:t>$5.96</w:t>
            </w:r>
          </w:p>
        </w:tc>
        <w:tc>
          <w:tcPr>
            <w:tcW w:type="dxa" w:w="1234"/>
          </w:tcPr>
          <w:p>
            <w:r>
              <w:rPr>
                <w:rFonts w:ascii="Calibri" w:hAnsi="Calibri"/>
                <w:b/>
                <w:color w:val="30A46C"/>
                <w:sz w:val="22"/>
              </w:rPr>
              <w:t>+122% YoY</w:t>
            </w:r>
          </w:p>
        </w:tc>
        <w:tc>
          <w:tcPr>
            <w:tcW w:type="dxa" w:w="1234"/>
          </w:tcPr>
          <w:p>
            <w:r>
              <w:rPr>
                <w:rFonts w:ascii="Calibri" w:hAnsi="Calibri"/>
                <w:sz w:val="22"/>
              </w:rPr>
              <w:t>N/A (no EPS guide)</w:t>
            </w:r>
          </w:p>
        </w:tc>
        <w:tc>
          <w:tcPr>
            <w:tcW w:type="dxa" w:w="1234"/>
          </w:tcPr>
          <w:p>
            <w:r>
              <w:rPr>
                <w:rFonts w:ascii="Calibri" w:hAnsi="Calibri"/>
                <w:sz w:val="22"/>
              </w:rPr>
              <w:t>N/A</w:t>
            </w:r>
          </w:p>
        </w:tc>
      </w:tr>
      <w:tr>
        <w:tc>
          <w:tcPr>
            <w:tcW w:type="dxa" w:w="1234"/>
          </w:tcPr>
          <w:p>
            <w:r>
              <w:rPr>
                <w:rFonts w:ascii="Calibri" w:hAnsi="Calibri"/>
                <w:sz w:val="22"/>
              </w:rPr>
              <w:t>Crude Oil Volume (MBO/d)</w:t>
            </w:r>
          </w:p>
        </w:tc>
        <w:tc>
          <w:tcPr>
            <w:tcW w:type="dxa" w:w="1234"/>
          </w:tcPr>
          <w:p>
            <w:r>
              <w:rPr>
                <w:rFonts w:ascii="Calibri" w:hAnsi="Calibri"/>
                <w:sz w:val="22"/>
              </w:rPr>
              <w:t>521.0</w:t>
            </w:r>
          </w:p>
        </w:tc>
        <w:tc>
          <w:tcPr>
            <w:tcW w:type="dxa" w:w="1234"/>
          </w:tcPr>
          <w:p>
            <w:r>
              <w:rPr>
                <w:rFonts w:ascii="Calibri" w:hAnsi="Calibri"/>
                <w:sz w:val="22"/>
              </w:rPr>
              <w:t>495.7</w:t>
            </w:r>
          </w:p>
        </w:tc>
        <w:tc>
          <w:tcPr>
            <w:tcW w:type="dxa" w:w="1234"/>
          </w:tcPr>
          <w:p>
            <w:r>
              <w:rPr>
                <w:rFonts w:ascii="Calibri" w:hAnsi="Calibri"/>
                <w:sz w:val="22"/>
              </w:rPr>
              <w:t>523.5</w:t>
            </w:r>
          </w:p>
        </w:tc>
        <w:tc>
          <w:tcPr>
            <w:tcW w:type="dxa" w:w="1234"/>
          </w:tcPr>
          <w:p>
            <w:r>
              <w:rPr>
                <w:rFonts w:ascii="Calibri" w:hAnsi="Calibri"/>
                <w:b/>
                <w:color w:val="30A46C"/>
                <w:sz w:val="22"/>
              </w:rPr>
              <w:t>+5.6% YoY</w:t>
            </w:r>
          </w:p>
        </w:tc>
        <w:tc>
          <w:tcPr>
            <w:tcW w:type="dxa" w:w="1234"/>
          </w:tcPr>
          <w:p>
            <w:r>
              <w:rPr>
                <w:rFonts w:ascii="Calibri" w:hAnsi="Calibri"/>
                <w:sz w:val="22"/>
              </w:rPr>
              <w:t>515–525 MBO/d</w:t>
            </w:r>
          </w:p>
        </w:tc>
        <w:tc>
          <w:tcPr>
            <w:tcW w:type="dxa" w:w="1234"/>
          </w:tcPr>
          <w:p>
            <w:r>
              <w:rPr>
                <w:rFonts w:ascii="Calibri" w:hAnsi="Calibri"/>
                <w:sz w:val="22"/>
              </w:rPr>
              <w:t>+0.5% above midpoint</w:t>
            </w:r>
          </w:p>
        </w:tc>
      </w:tr>
      <w:tr>
        <w:tc>
          <w:tcPr>
            <w:tcW w:type="dxa" w:w="1234"/>
          </w:tcPr>
          <w:p>
            <w:r>
              <w:rPr>
                <w:rFonts w:ascii="Calibri" w:hAnsi="Calibri"/>
                <w:sz w:val="22"/>
              </w:rPr>
              <w:t>Total BOE Volume (MBOE/d)</w:t>
            </w:r>
          </w:p>
        </w:tc>
        <w:tc>
          <w:tcPr>
            <w:tcW w:type="dxa" w:w="1234"/>
          </w:tcPr>
          <w:p>
            <w:r>
              <w:rPr>
                <w:rFonts w:ascii="Calibri" w:hAnsi="Calibri"/>
                <w:sz w:val="22"/>
              </w:rPr>
              <w:t>979.4</w:t>
            </w:r>
          </w:p>
        </w:tc>
        <w:tc>
          <w:tcPr>
            <w:tcW w:type="dxa" w:w="1234"/>
          </w:tcPr>
          <w:p>
            <w:r>
              <w:rPr>
                <w:rFonts w:ascii="Calibri" w:hAnsi="Calibri"/>
                <w:sz w:val="22"/>
              </w:rPr>
              <w:t>919.9</w:t>
            </w:r>
          </w:p>
        </w:tc>
        <w:tc>
          <w:tcPr>
            <w:tcW w:type="dxa" w:w="1234"/>
          </w:tcPr>
          <w:p>
            <w:r>
              <w:rPr>
                <w:rFonts w:ascii="Calibri" w:hAnsi="Calibri"/>
                <w:sz w:val="22"/>
              </w:rPr>
              <w:t>979.0</w:t>
            </w:r>
          </w:p>
        </w:tc>
        <w:tc>
          <w:tcPr>
            <w:tcW w:type="dxa" w:w="1234"/>
          </w:tcPr>
          <w:p>
            <w:r>
              <w:rPr>
                <w:rFonts w:ascii="Calibri" w:hAnsi="Calibri"/>
                <w:b/>
                <w:color w:val="30A46C"/>
                <w:sz w:val="22"/>
              </w:rPr>
              <w:t>+6.4% YoY</w:t>
            </w:r>
          </w:p>
        </w:tc>
        <w:tc>
          <w:tcPr>
            <w:tcW w:type="dxa" w:w="1234"/>
          </w:tcPr>
          <w:p>
            <w:r>
              <w:rPr>
                <w:rFonts w:ascii="Calibri" w:hAnsi="Calibri"/>
                <w:sz w:val="22"/>
              </w:rPr>
              <w:t>950–990 MBOE/d</w:t>
            </w:r>
          </w:p>
        </w:tc>
        <w:tc>
          <w:tcPr>
            <w:tcW w:type="dxa" w:w="1234"/>
          </w:tcPr>
          <w:p>
            <w:r>
              <w:rPr>
                <w:rFonts w:ascii="Calibri" w:hAnsi="Calibri"/>
                <w:sz w:val="22"/>
              </w:rPr>
              <w:t>-0.1% vs. midpoint</w:t>
            </w:r>
          </w:p>
        </w:tc>
      </w:tr>
      <w:tr>
        <w:tc>
          <w:tcPr>
            <w:tcW w:type="dxa" w:w="1234"/>
          </w:tcPr>
          <w:p>
            <w:r>
              <w:rPr>
                <w:rFonts w:ascii="Calibri" w:hAnsi="Calibri"/>
                <w:sz w:val="22"/>
              </w:rPr>
              <w:t>Adj. EBITDA ($B)</w:t>
            </w:r>
          </w:p>
        </w:tc>
        <w:tc>
          <w:tcPr>
            <w:tcW w:type="dxa" w:w="1234"/>
          </w:tcPr>
          <w:p>
            <w:r>
              <w:rPr>
                <w:rFonts w:ascii="Calibri" w:hAnsi="Calibri"/>
                <w:sz w:val="22"/>
              </w:rPr>
              <w:t>$2.70B</w:t>
            </w:r>
          </w:p>
        </w:tc>
        <w:tc>
          <w:tcPr>
            <w:tcW w:type="dxa" w:w="1234"/>
          </w:tcPr>
          <w:p>
            <w:r>
              <w:rPr>
                <w:rFonts w:ascii="Calibri" w:hAnsi="Calibri"/>
                <w:sz w:val="22"/>
              </w:rPr>
              <w:t>$2.31B</w:t>
            </w:r>
          </w:p>
        </w:tc>
        <w:tc>
          <w:tcPr>
            <w:tcW w:type="dxa" w:w="1234"/>
          </w:tcPr>
          <w:p>
            <w:r>
              <w:rPr>
                <w:rFonts w:ascii="Calibri" w:hAnsi="Calibri"/>
                <w:sz w:val="22"/>
              </w:rPr>
              <w:t>$3.59B</w:t>
            </w:r>
          </w:p>
        </w:tc>
        <w:tc>
          <w:tcPr>
            <w:tcW w:type="dxa" w:w="1234"/>
          </w:tcPr>
          <w:p>
            <w:r>
              <w:rPr>
                <w:rFonts w:ascii="Calibri" w:hAnsi="Calibri"/>
                <w:b/>
                <w:color w:val="30A46C"/>
                <w:sz w:val="22"/>
              </w:rPr>
              <w:t>+55% YoY</w:t>
            </w:r>
          </w:p>
        </w:tc>
        <w:tc>
          <w:tcPr>
            <w:tcW w:type="dxa" w:w="1234"/>
          </w:tcPr>
          <w:p>
            <w:r>
              <w:rPr>
                <w:rFonts w:ascii="Calibri" w:hAnsi="Calibri"/>
                <w:sz w:val="22"/>
              </w:rPr>
              <w:t>N/A (no EBITDA guide)</w:t>
            </w:r>
          </w:p>
        </w:tc>
        <w:tc>
          <w:tcPr>
            <w:tcW w:type="dxa" w:w="1234"/>
          </w:tcPr>
          <w:p>
            <w:r>
              <w:rPr>
                <w:rFonts w:ascii="Calibri" w:hAnsi="Calibri"/>
                <w:sz w:val="22"/>
              </w:rPr>
              <w:t>N/A</w:t>
            </w:r>
          </w:p>
        </w:tc>
      </w:tr>
      <w:tr>
        <w:tc>
          <w:tcPr>
            <w:tcW w:type="dxa" w:w="1234"/>
          </w:tcPr>
          <w:p>
            <w:r>
              <w:rPr>
                <w:rFonts w:ascii="Calibri" w:hAnsi="Calibri"/>
                <w:sz w:val="22"/>
              </w:rPr>
              <w:t>Total Revenue ($B)</w:t>
            </w:r>
          </w:p>
        </w:tc>
        <w:tc>
          <w:tcPr>
            <w:tcW w:type="dxa" w:w="1234"/>
          </w:tcPr>
          <w:p>
            <w:r>
              <w:rPr>
                <w:rFonts w:ascii="Calibri" w:hAnsi="Calibri"/>
                <w:sz w:val="22"/>
              </w:rPr>
              <w:t>$4.24B</w:t>
            </w:r>
          </w:p>
        </w:tc>
        <w:tc>
          <w:tcPr>
            <w:tcW w:type="dxa" w:w="1234"/>
          </w:tcPr>
          <w:p>
            <w:r>
              <w:rPr>
                <w:rFonts w:ascii="Calibri" w:hAnsi="Calibri"/>
                <w:sz w:val="22"/>
              </w:rPr>
              <w:t>$3.68B</w:t>
            </w:r>
          </w:p>
        </w:tc>
        <w:tc>
          <w:tcPr>
            <w:tcW w:type="dxa" w:w="1234"/>
          </w:tcPr>
          <w:p>
            <w:r>
              <w:rPr>
                <w:rFonts w:ascii="Calibri" w:hAnsi="Calibri"/>
                <w:sz w:val="22"/>
              </w:rPr>
              <w:t>$4.90B</w:t>
            </w:r>
          </w:p>
        </w:tc>
        <w:tc>
          <w:tcPr>
            <w:tcW w:type="dxa" w:w="1234"/>
          </w:tcPr>
          <w:p>
            <w:r>
              <w:rPr>
                <w:rFonts w:ascii="Calibri" w:hAnsi="Calibri"/>
                <w:b/>
                <w:color w:val="30A46C"/>
                <w:sz w:val="22"/>
              </w:rPr>
              <w:t>+33%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$1.42B</w:t>
            </w:r>
          </w:p>
        </w:tc>
        <w:tc>
          <w:tcPr>
            <w:tcW w:type="dxa" w:w="1234"/>
          </w:tcPr>
          <w:p>
            <w:r>
              <w:rPr>
                <w:rFonts w:ascii="Calibri" w:hAnsi="Calibri"/>
                <w:sz w:val="22"/>
              </w:rPr>
              <w:t>-$0.12B</w:t>
            </w:r>
          </w:p>
        </w:tc>
        <w:tc>
          <w:tcPr>
            <w:tcW w:type="dxa" w:w="1234"/>
          </w:tcPr>
          <w:p>
            <w:r>
              <w:rPr>
                <w:rFonts w:ascii="Calibri" w:hAnsi="Calibri"/>
                <w:sz w:val="22"/>
              </w:rPr>
              <w:t>$2.15B</w:t>
            </w:r>
          </w:p>
        </w:tc>
        <w:tc>
          <w:tcPr>
            <w:tcW w:type="dxa" w:w="1234"/>
          </w:tcPr>
          <w:p>
            <w:r>
              <w:rPr>
                <w:rFonts w:ascii="Calibri" w:hAnsi="Calibri"/>
                <w:b/>
                <w:color w:val="30A46C"/>
                <w:sz w:val="22"/>
              </w:rPr>
              <w:t>N/M (prior yr. negative)</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Capex ($B)</w:t>
            </w:r>
          </w:p>
        </w:tc>
        <w:tc>
          <w:tcPr>
            <w:tcW w:type="dxa" w:w="1234"/>
          </w:tcPr>
          <w:p>
            <w:r>
              <w:rPr>
                <w:rFonts w:ascii="Calibri" w:hAnsi="Calibri"/>
                <w:sz w:val="22"/>
              </w:rPr>
              <w:t>$0.93B</w:t>
            </w:r>
          </w:p>
        </w:tc>
        <w:tc>
          <w:tcPr>
            <w:tcW w:type="dxa" w:w="1234"/>
          </w:tcPr>
          <w:p>
            <w:r>
              <w:rPr>
                <w:rFonts w:ascii="Calibri" w:hAnsi="Calibri"/>
                <w:sz w:val="22"/>
              </w:rPr>
              <w:t>$0.86B</w:t>
            </w:r>
          </w:p>
        </w:tc>
        <w:tc>
          <w:tcPr>
            <w:tcW w:type="dxa" w:w="1234"/>
          </w:tcPr>
          <w:p>
            <w:r>
              <w:rPr>
                <w:rFonts w:ascii="Calibri" w:hAnsi="Calibri"/>
                <w:sz w:val="22"/>
              </w:rPr>
              <w:t>$0.99B</w:t>
            </w:r>
          </w:p>
        </w:tc>
        <w:tc>
          <w:tcPr>
            <w:tcW w:type="dxa" w:w="1234"/>
          </w:tcPr>
          <w:p>
            <w:r>
              <w:rPr>
                <w:rFonts w:ascii="Calibri" w:hAnsi="Calibri"/>
                <w:sz w:val="22"/>
              </w:rPr>
              <w:t>+15% YoY</w:t>
            </w:r>
          </w:p>
        </w:tc>
        <w:tc>
          <w:tcPr>
            <w:tcW w:type="dxa" w:w="1234"/>
          </w:tcPr>
          <w:p>
            <w:r>
              <w:rPr>
                <w:rFonts w:ascii="Calibri" w:hAnsi="Calibri"/>
                <w:sz w:val="22"/>
              </w:rPr>
              <w:t>$925M–$1,025M</w:t>
            </w:r>
          </w:p>
        </w:tc>
        <w:tc>
          <w:tcPr>
            <w:tcW w:type="dxa" w:w="1234"/>
          </w:tcPr>
          <w:p>
            <w:r>
              <w:rPr>
                <w:rFonts w:ascii="Calibri" w:hAnsi="Calibri"/>
                <w:sz w:val="22"/>
              </w:rPr>
              <w:t>-1.0% vs. midpoint</w:t>
            </w:r>
          </w:p>
        </w:tc>
      </w:tr>
    </w:tbl>
    <w:p>
      <w:r>
        <w:rPr>
          <w:rFonts w:ascii="Calibri" w:hAnsi="Calibri"/>
          <w:i/>
          <w:color w:val="525866"/>
          <w:sz w:val="22"/>
        </w:rPr>
        <w:t>Source: Visible Alpha Consensus and Actuals Data; Q2 2026 guidance from Q1 2026 earnings release (May 4, 2026). Adj. EPS = EPS — Diluted — Operating. All consensus figures as of August 2,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Crude Oil Volume per Day (MBO/d)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521.0</w:t>
            </w:r>
          </w:p>
        </w:tc>
        <w:tc>
          <w:tcPr>
            <w:tcW w:type="dxa" w:w="1728"/>
          </w:tcPr>
          <w:p>
            <w:r>
              <w:rPr>
                <w:rFonts w:ascii="Calibri" w:hAnsi="Calibri"/>
                <w:sz w:val="22"/>
              </w:rPr>
              <w:t>508.8</w:t>
            </w:r>
          </w:p>
        </w:tc>
        <w:tc>
          <w:tcPr>
            <w:tcW w:type="dxa" w:w="1728"/>
          </w:tcPr>
          <w:p>
            <w:r>
              <w:rPr>
                <w:rFonts w:ascii="Calibri" w:hAnsi="Calibri"/>
                <w:b/>
                <w:color w:val="30A46C"/>
                <w:sz w:val="22"/>
              </w:rPr>
              <w:t>+2.4%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512.8</w:t>
            </w:r>
          </w:p>
        </w:tc>
        <w:tc>
          <w:tcPr>
            <w:tcW w:type="dxa" w:w="1728"/>
          </w:tcPr>
          <w:p>
            <w:r>
              <w:rPr>
                <w:rFonts w:ascii="Calibri" w:hAnsi="Calibri"/>
                <w:sz w:val="22"/>
              </w:rPr>
              <w:t>511.4</w:t>
            </w:r>
          </w:p>
        </w:tc>
        <w:tc>
          <w:tcPr>
            <w:tcW w:type="dxa" w:w="1728"/>
          </w:tcPr>
          <w:p>
            <w:r>
              <w:rPr>
                <w:rFonts w:ascii="Calibri" w:hAnsi="Calibri"/>
                <w:b/>
                <w:color w:val="30A46C"/>
                <w:sz w:val="22"/>
              </w:rPr>
              <w:t>+0.3%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503.8</w:t>
            </w:r>
          </w:p>
        </w:tc>
        <w:tc>
          <w:tcPr>
            <w:tcW w:type="dxa" w:w="1728"/>
          </w:tcPr>
          <w:p>
            <w:r>
              <w:rPr>
                <w:rFonts w:ascii="Calibri" w:hAnsi="Calibri"/>
                <w:sz w:val="22"/>
              </w:rPr>
              <w:t>499.0</w:t>
            </w:r>
          </w:p>
        </w:tc>
        <w:tc>
          <w:tcPr>
            <w:tcW w:type="dxa" w:w="1728"/>
          </w:tcPr>
          <w:p>
            <w:r>
              <w:rPr>
                <w:rFonts w:ascii="Calibri" w:hAnsi="Calibri"/>
                <w:b/>
                <w:color w:val="30A46C"/>
                <w:sz w:val="22"/>
              </w:rPr>
              <w:t>+1.0%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495.7</w:t>
            </w:r>
          </w:p>
        </w:tc>
        <w:tc>
          <w:tcPr>
            <w:tcW w:type="dxa" w:w="1728"/>
          </w:tcPr>
          <w:p>
            <w:r>
              <w:rPr>
                <w:rFonts w:ascii="Calibri" w:hAnsi="Calibri"/>
                <w:sz w:val="22"/>
              </w:rPr>
              <w:t>494.7</w:t>
            </w:r>
          </w:p>
        </w:tc>
        <w:tc>
          <w:tcPr>
            <w:tcW w:type="dxa" w:w="1728"/>
          </w:tcPr>
          <w:p>
            <w:r>
              <w:rPr>
                <w:rFonts w:ascii="Calibri" w:hAnsi="Calibri"/>
                <w:b/>
                <w:color w:val="30A46C"/>
                <w:sz w:val="22"/>
              </w:rPr>
              <w:t>+0.2%</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475.9</w:t>
            </w:r>
          </w:p>
        </w:tc>
        <w:tc>
          <w:tcPr>
            <w:tcW w:type="dxa" w:w="1728"/>
          </w:tcPr>
          <w:p>
            <w:r>
              <w:rPr>
                <w:rFonts w:ascii="Calibri" w:hAnsi="Calibri"/>
                <w:sz w:val="22"/>
              </w:rPr>
              <w:t>474.6</w:t>
            </w:r>
          </w:p>
        </w:tc>
        <w:tc>
          <w:tcPr>
            <w:tcW w:type="dxa" w:w="1728"/>
          </w:tcPr>
          <w:p>
            <w:r>
              <w:rPr>
                <w:rFonts w:ascii="Calibri" w:hAnsi="Calibri"/>
                <w:b/>
                <w:color w:val="30A46C"/>
                <w:sz w:val="22"/>
              </w:rPr>
              <w:t>+0.3%</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475.9</w:t>
            </w:r>
          </w:p>
        </w:tc>
        <w:tc>
          <w:tcPr>
            <w:tcW w:type="dxa" w:w="1728"/>
          </w:tcPr>
          <w:p>
            <w:r>
              <w:rPr>
                <w:rFonts w:ascii="Calibri" w:hAnsi="Calibri"/>
                <w:sz w:val="22"/>
              </w:rPr>
              <w:t>474.1</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321.1</w:t>
            </w:r>
          </w:p>
        </w:tc>
        <w:tc>
          <w:tcPr>
            <w:tcW w:type="dxa" w:w="1728"/>
          </w:tcPr>
          <w:p>
            <w:r>
              <w:rPr>
                <w:rFonts w:ascii="Calibri" w:hAnsi="Calibri"/>
                <w:sz w:val="22"/>
              </w:rPr>
              <w:t>313.6</w:t>
            </w:r>
          </w:p>
        </w:tc>
        <w:tc>
          <w:tcPr>
            <w:tcW w:type="dxa" w:w="1728"/>
          </w:tcPr>
          <w:p>
            <w:r>
              <w:rPr>
                <w:rFonts w:ascii="Calibri" w:hAnsi="Calibri"/>
                <w:b/>
                <w:color w:val="30A46C"/>
                <w:sz w:val="22"/>
              </w:rPr>
              <w:t>+2.4%</w:t>
            </w:r>
          </w:p>
        </w:tc>
        <w:tc>
          <w:tcPr>
            <w:tcW w:type="dxa" w:w="1728"/>
          </w:tcPr>
          <w:p>
            <w:r>
              <w:rPr>
                <w:rFonts w:ascii="Calibri" w:hAnsi="Calibri"/>
                <w:sz w:val="22"/>
              </w:rPr>
              <w:t>BEAT</w:t>
            </w:r>
          </w:p>
        </w:tc>
      </w:tr>
    </w:tbl>
    <w:p>
      <w:pPr>
        <w:pStyle w:val="Heading4"/>
      </w:pPr>
      <w:r>
        <w:rPr>
          <w:rFonts w:ascii="Calibri" w:hAnsi="Calibri"/>
          <w:b/>
          <w:color w:val="3B4259"/>
          <w:sz w:val="22"/>
        </w:rPr>
        <w:t>Top KPI #2: Adjusted EPS — Diluted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$4.24</w:t>
            </w:r>
          </w:p>
        </w:tc>
        <w:tc>
          <w:tcPr>
            <w:tcW w:type="dxa" w:w="1728"/>
          </w:tcPr>
          <w:p>
            <w:r>
              <w:rPr>
                <w:rFonts w:ascii="Calibri" w:hAnsi="Calibri"/>
                <w:sz w:val="22"/>
              </w:rPr>
              <w:t>$3.60</w:t>
            </w:r>
          </w:p>
        </w:tc>
        <w:tc>
          <w:tcPr>
            <w:tcW w:type="dxa" w:w="1728"/>
          </w:tcPr>
          <w:p>
            <w:r>
              <w:rPr>
                <w:rFonts w:ascii="Calibri" w:hAnsi="Calibri"/>
                <w:b/>
                <w:color w:val="30A46C"/>
                <w:sz w:val="22"/>
              </w:rPr>
              <w:t>+17.7%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$1.74</w:t>
            </w:r>
          </w:p>
        </w:tc>
        <w:tc>
          <w:tcPr>
            <w:tcW w:type="dxa" w:w="1728"/>
          </w:tcPr>
          <w:p>
            <w:r>
              <w:rPr>
                <w:rFonts w:ascii="Calibri" w:hAnsi="Calibri"/>
                <w:sz w:val="22"/>
              </w:rPr>
              <w:t>$2.01</w:t>
            </w:r>
          </w:p>
        </w:tc>
        <w:tc>
          <w:tcPr>
            <w:tcW w:type="dxa" w:w="1728"/>
          </w:tcPr>
          <w:p>
            <w:r>
              <w:rPr>
                <w:rFonts w:ascii="Calibri" w:hAnsi="Calibri"/>
                <w:b/>
                <w:color w:val="E5484D"/>
                <w:sz w:val="22"/>
              </w:rPr>
              <w:t>-13.4%</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$3.08</w:t>
            </w:r>
          </w:p>
        </w:tc>
        <w:tc>
          <w:tcPr>
            <w:tcW w:type="dxa" w:w="1728"/>
          </w:tcPr>
          <w:p>
            <w:r>
              <w:rPr>
                <w:rFonts w:ascii="Calibri" w:hAnsi="Calibri"/>
                <w:sz w:val="22"/>
              </w:rPr>
              <w:t>$2.90</w:t>
            </w:r>
          </w:p>
        </w:tc>
        <w:tc>
          <w:tcPr>
            <w:tcW w:type="dxa" w:w="1728"/>
          </w:tcPr>
          <w:p>
            <w:r>
              <w:rPr>
                <w:rFonts w:ascii="Calibri" w:hAnsi="Calibri"/>
                <w:b/>
                <w:color w:val="30A46C"/>
                <w:sz w:val="22"/>
              </w:rPr>
              <w:t>+6.0%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$2.69</w:t>
            </w:r>
          </w:p>
        </w:tc>
        <w:tc>
          <w:tcPr>
            <w:tcW w:type="dxa" w:w="1728"/>
          </w:tcPr>
          <w:p>
            <w:r>
              <w:rPr>
                <w:rFonts w:ascii="Calibri" w:hAnsi="Calibri"/>
                <w:sz w:val="22"/>
              </w:rPr>
              <w:t>$2.71</w:t>
            </w:r>
          </w:p>
        </w:tc>
        <w:tc>
          <w:tcPr>
            <w:tcW w:type="dxa" w:w="1728"/>
          </w:tcPr>
          <w:p>
            <w:r>
              <w:rPr>
                <w:rFonts w:ascii="Calibri" w:hAnsi="Calibri"/>
                <w:sz w:val="22"/>
              </w:rPr>
              <w:t>-0.7%</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$4.56</w:t>
            </w:r>
          </w:p>
        </w:tc>
        <w:tc>
          <w:tcPr>
            <w:tcW w:type="dxa" w:w="1728"/>
          </w:tcPr>
          <w:p>
            <w:r>
              <w:rPr>
                <w:rFonts w:ascii="Calibri" w:hAnsi="Calibri"/>
                <w:sz w:val="22"/>
              </w:rPr>
              <w:t>$4.16</w:t>
            </w:r>
          </w:p>
        </w:tc>
        <w:tc>
          <w:tcPr>
            <w:tcW w:type="dxa" w:w="1728"/>
          </w:tcPr>
          <w:p>
            <w:r>
              <w:rPr>
                <w:rFonts w:ascii="Calibri" w:hAnsi="Calibri"/>
                <w:b/>
                <w:color w:val="30A46C"/>
                <w:sz w:val="22"/>
              </w:rPr>
              <w:t>+9.5%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$3.64</w:t>
            </w:r>
          </w:p>
        </w:tc>
        <w:tc>
          <w:tcPr>
            <w:tcW w:type="dxa" w:w="1728"/>
          </w:tcPr>
          <w:p>
            <w:r>
              <w:rPr>
                <w:rFonts w:ascii="Calibri" w:hAnsi="Calibri"/>
                <w:sz w:val="22"/>
              </w:rPr>
              <w:t>$3.34</w:t>
            </w:r>
          </w:p>
        </w:tc>
        <w:tc>
          <w:tcPr>
            <w:tcW w:type="dxa" w:w="1728"/>
          </w:tcPr>
          <w:p>
            <w:r>
              <w:rPr>
                <w:rFonts w:ascii="Calibri" w:hAnsi="Calibri"/>
                <w:b/>
                <w:color w:val="30A46C"/>
                <w:sz w:val="22"/>
              </w:rPr>
              <w:t>+9.0%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$3.38</w:t>
            </w:r>
          </w:p>
        </w:tc>
        <w:tc>
          <w:tcPr>
            <w:tcW w:type="dxa" w:w="1728"/>
          </w:tcPr>
          <w:p>
            <w:r>
              <w:rPr>
                <w:rFonts w:ascii="Calibri" w:hAnsi="Calibri"/>
                <w:sz w:val="22"/>
              </w:rPr>
              <w:t>$3.99</w:t>
            </w:r>
          </w:p>
        </w:tc>
        <w:tc>
          <w:tcPr>
            <w:tcW w:type="dxa" w:w="1728"/>
          </w:tcPr>
          <w:p>
            <w:r>
              <w:rPr>
                <w:rFonts w:ascii="Calibri" w:hAnsi="Calibri"/>
                <w:b/>
                <w:color w:val="E5484D"/>
                <w:sz w:val="22"/>
              </w:rPr>
              <w:t>-15.3%</w:t>
            </w:r>
          </w:p>
        </w:tc>
        <w:tc>
          <w:tcPr>
            <w:tcW w:type="dxa" w:w="1728"/>
          </w:tcPr>
          <w:p>
            <w:r>
              <w:rPr>
                <w:rFonts w:ascii="Calibri" w:hAnsi="Calibri"/>
                <w:sz w:val="22"/>
              </w:rPr>
              <w:t>MISS</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FANG has beaten crude oil volume consensus in all 7 of the last 7 reported quarters — a near-perfect track record of operational outperformance. On EPS, the record is 5 beats, 1 miss, and 1 in-line over the last 7 quarters; the two misses (Q3 2024, Q4 2025) were commodity-price-driven rather than operational. With oil prices pre-announced well above consensus assumptions, the Q2 2026 EPS bar looks beatable.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surged dramatically</w:t>
      </w:r>
      <w:r>
        <w:rPr>
          <w:rFonts w:ascii="Calibri" w:hAnsi="Calibri"/>
          <w:color w:val="525866"/>
          <w:sz w:val="22"/>
        </w:rPr>
        <w:t xml:space="preserve"> since Q1 earnings — Q2 2026 EPS consensus jumped from $5.74 to $5.96 (+3.8%) and FY 2026 EPS from $18.24 to $18.38 (+0.8%) — tracking the oil price windfall. Estimates are </w:t>
      </w:r>
      <w:r>
        <w:rPr>
          <w:rFonts w:ascii="Calibri" w:hAnsi="Calibri"/>
          <w:b/>
          <w:color w:val="525866"/>
          <w:sz w:val="22"/>
        </w:rPr>
        <w:t>running well above the guidance framework</w:t>
      </w:r>
      <w:r>
        <w:rPr>
          <w:rFonts w:ascii="Calibri" w:hAnsi="Calibri"/>
          <w:color w:val="525866"/>
          <w:sz w:val="22"/>
        </w:rPr>
        <w:t xml:space="preserve"> on production, suggesting the Street is already pricing in operational outperformance; the gap is a modest cushion, not a risk.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 at Last Earnings (May 9, 2026)</w:t>
            </w:r>
          </w:p>
        </w:tc>
        <w:tc>
          <w:tcPr>
            <w:tcW w:type="dxa" w:w="1234"/>
            <w:shd w:val="clear" w:color="auto" w:fill="3B4259"/>
          </w:tcPr>
          <w:p>
            <w:r>
              <w:rPr>
                <w:rFonts w:ascii="Calibri" w:hAnsi="Calibri"/>
                <w:b/>
                <w:color w:val="FFFFFF"/>
                <w:sz w:val="22"/>
              </w:rPr>
              <w:t>Current Consensus (Aug 2,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 vs. Guidance (%)</w:t>
            </w:r>
          </w:p>
        </w:tc>
      </w:tr>
      <w:tr>
        <w:tc>
          <w:tcPr>
            <w:tcW w:type="dxa" w:w="1234"/>
          </w:tcPr>
          <w:p>
            <w:r>
              <w:rPr>
                <w:rFonts w:ascii="Calibri" w:hAnsi="Calibri"/>
                <w:sz w:val="22"/>
              </w:rPr>
              <w:t>Adj. EPS — Q2 2026</w:t>
            </w:r>
          </w:p>
        </w:tc>
        <w:tc>
          <w:tcPr>
            <w:tcW w:type="dxa" w:w="1234"/>
          </w:tcPr>
          <w:p>
            <w:r>
              <w:rPr>
                <w:rFonts w:ascii="Calibri" w:hAnsi="Calibri"/>
                <w:sz w:val="22"/>
              </w:rPr>
              <w:t>$5.74</w:t>
            </w:r>
          </w:p>
        </w:tc>
        <w:tc>
          <w:tcPr>
            <w:tcW w:type="dxa" w:w="1234"/>
          </w:tcPr>
          <w:p>
            <w:r>
              <w:rPr>
                <w:rFonts w:ascii="Calibri" w:hAnsi="Calibri"/>
                <w:sz w:val="22"/>
              </w:rPr>
              <w:t>$5.96</w:t>
            </w:r>
          </w:p>
        </w:tc>
        <w:tc>
          <w:tcPr>
            <w:tcW w:type="dxa" w:w="1234"/>
          </w:tcPr>
          <w:p>
            <w:r>
              <w:rPr>
                <w:rFonts w:ascii="Calibri" w:hAnsi="Calibri"/>
                <w:b/>
                <w:color w:val="30A46C"/>
                <w:sz w:val="22"/>
              </w:rPr>
              <w:t>+3.8%</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EPS — FY 2026</w:t>
            </w:r>
          </w:p>
        </w:tc>
        <w:tc>
          <w:tcPr>
            <w:tcW w:type="dxa" w:w="1234"/>
          </w:tcPr>
          <w:p>
            <w:r>
              <w:rPr>
                <w:rFonts w:ascii="Calibri" w:hAnsi="Calibri"/>
                <w:sz w:val="22"/>
              </w:rPr>
              <w:t>$18.24</w:t>
            </w:r>
          </w:p>
        </w:tc>
        <w:tc>
          <w:tcPr>
            <w:tcW w:type="dxa" w:w="1234"/>
          </w:tcPr>
          <w:p>
            <w:r>
              <w:rPr>
                <w:rFonts w:ascii="Calibri" w:hAnsi="Calibri"/>
                <w:sz w:val="22"/>
              </w:rPr>
              <w:t>$18.38</w:t>
            </w:r>
          </w:p>
        </w:tc>
        <w:tc>
          <w:tcPr>
            <w:tcW w:type="dxa" w:w="1234"/>
          </w:tcPr>
          <w:p>
            <w:r>
              <w:rPr>
                <w:rFonts w:ascii="Calibri" w:hAnsi="Calibri"/>
                <w:b/>
                <w:color w:val="30A46C"/>
                <w:sz w:val="22"/>
              </w:rPr>
              <w:t>+0.8%</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Crude Oil Vol. — Q2 2026 (MBO/d)</w:t>
            </w:r>
          </w:p>
        </w:tc>
        <w:tc>
          <w:tcPr>
            <w:tcW w:type="dxa" w:w="1234"/>
          </w:tcPr>
          <w:p>
            <w:r>
              <w:rPr>
                <w:rFonts w:ascii="Calibri" w:hAnsi="Calibri"/>
                <w:sz w:val="22"/>
              </w:rPr>
              <w:t>522.1</w:t>
            </w:r>
          </w:p>
        </w:tc>
        <w:tc>
          <w:tcPr>
            <w:tcW w:type="dxa" w:w="1234"/>
          </w:tcPr>
          <w:p>
            <w:r>
              <w:rPr>
                <w:rFonts w:ascii="Calibri" w:hAnsi="Calibri"/>
                <w:sz w:val="22"/>
              </w:rPr>
              <w:t>523.5</w:t>
            </w:r>
          </w:p>
        </w:tc>
        <w:tc>
          <w:tcPr>
            <w:tcW w:type="dxa" w:w="1234"/>
          </w:tcPr>
          <w:p>
            <w:r>
              <w:rPr>
                <w:rFonts w:ascii="Calibri" w:hAnsi="Calibri"/>
                <w:sz w:val="22"/>
              </w:rPr>
              <w:t>+0.3%</w:t>
            </w:r>
          </w:p>
        </w:tc>
        <w:tc>
          <w:tcPr>
            <w:tcW w:type="dxa" w:w="1234"/>
          </w:tcPr>
          <w:p>
            <w:r>
              <w:rPr>
                <w:rFonts w:ascii="Calibri" w:hAnsi="Calibri"/>
                <w:sz w:val="22"/>
              </w:rPr>
              <w:t>515–525 MBO/d</w:t>
            </w:r>
          </w:p>
        </w:tc>
        <w:tc>
          <w:tcPr>
            <w:tcW w:type="dxa" w:w="1234"/>
          </w:tcPr>
          <w:p>
            <w:r>
              <w:rPr>
                <w:rFonts w:ascii="Calibri" w:hAnsi="Calibri"/>
                <w:sz w:val="22"/>
              </w:rPr>
              <w:t>515–525 MBO/d</w:t>
            </w:r>
          </w:p>
        </w:tc>
        <w:tc>
          <w:tcPr>
            <w:tcW w:type="dxa" w:w="1234"/>
          </w:tcPr>
          <w:p>
            <w:r>
              <w:rPr>
                <w:rFonts w:ascii="Calibri" w:hAnsi="Calibri"/>
                <w:sz w:val="22"/>
              </w:rPr>
              <w:t>+0.5% above midpoint</w:t>
            </w:r>
          </w:p>
        </w:tc>
      </w:tr>
      <w:tr>
        <w:tc>
          <w:tcPr>
            <w:tcW w:type="dxa" w:w="1234"/>
          </w:tcPr>
          <w:p>
            <w:r>
              <w:rPr>
                <w:rFonts w:ascii="Calibri" w:hAnsi="Calibri"/>
                <w:sz w:val="22"/>
              </w:rPr>
              <w:t>Crude Oil Vol. — FY 2026 (MBO/d)</w:t>
            </w:r>
          </w:p>
        </w:tc>
        <w:tc>
          <w:tcPr>
            <w:tcW w:type="dxa" w:w="1234"/>
          </w:tcPr>
          <w:p>
            <w:r>
              <w:rPr>
                <w:rFonts w:ascii="Calibri" w:hAnsi="Calibri"/>
                <w:sz w:val="22"/>
              </w:rPr>
              <w:t>523.6</w:t>
            </w:r>
          </w:p>
        </w:tc>
        <w:tc>
          <w:tcPr>
            <w:tcW w:type="dxa" w:w="1234"/>
          </w:tcPr>
          <w:p>
            <w:r>
              <w:rPr>
                <w:rFonts w:ascii="Calibri" w:hAnsi="Calibri"/>
                <w:sz w:val="22"/>
              </w:rPr>
              <w:t>524.8</w:t>
            </w:r>
          </w:p>
        </w:tc>
        <w:tc>
          <w:tcPr>
            <w:tcW w:type="dxa" w:w="1234"/>
          </w:tcPr>
          <w:p>
            <w:r>
              <w:rPr>
                <w:rFonts w:ascii="Calibri" w:hAnsi="Calibri"/>
                <w:sz w:val="22"/>
              </w:rPr>
              <w:t>+0.2%</w:t>
            </w:r>
          </w:p>
        </w:tc>
        <w:tc>
          <w:tcPr>
            <w:tcW w:type="dxa" w:w="1234"/>
          </w:tcPr>
          <w:p>
            <w:r>
              <w:rPr>
                <w:rFonts w:ascii="Calibri" w:hAnsi="Calibri"/>
                <w:sz w:val="22"/>
              </w:rPr>
              <w:t>520+ MBO/d</w:t>
            </w:r>
          </w:p>
        </w:tc>
        <w:tc>
          <w:tcPr>
            <w:tcW w:type="dxa" w:w="1234"/>
          </w:tcPr>
          <w:p>
            <w:r>
              <w:rPr>
                <w:rFonts w:ascii="Calibri" w:hAnsi="Calibri"/>
                <w:sz w:val="22"/>
              </w:rPr>
              <w:t>520+ MBO/d</w:t>
            </w:r>
          </w:p>
        </w:tc>
        <w:tc>
          <w:tcPr>
            <w:tcW w:type="dxa" w:w="1234"/>
          </w:tcPr>
          <w:p>
            <w:r>
              <w:rPr>
                <w:rFonts w:ascii="Calibri" w:hAnsi="Calibri"/>
                <w:sz w:val="22"/>
              </w:rPr>
              <w:t>+0.9% above floor</w:t>
            </w:r>
          </w:p>
        </w:tc>
      </w:tr>
      <w:tr>
        <w:tc>
          <w:tcPr>
            <w:tcW w:type="dxa" w:w="1234"/>
          </w:tcPr>
          <w:p>
            <w:r>
              <w:rPr>
                <w:rFonts w:ascii="Calibri" w:hAnsi="Calibri"/>
                <w:sz w:val="22"/>
              </w:rPr>
              <w:t>Adj. EBITDA — Q2 2026 ($B)</w:t>
            </w:r>
          </w:p>
        </w:tc>
        <w:tc>
          <w:tcPr>
            <w:tcW w:type="dxa" w:w="1234"/>
          </w:tcPr>
          <w:p>
            <w:r>
              <w:rPr>
                <w:rFonts w:ascii="Calibri" w:hAnsi="Calibri"/>
                <w:sz w:val="22"/>
              </w:rPr>
              <w:t>$3.69B</w:t>
            </w:r>
          </w:p>
        </w:tc>
        <w:tc>
          <w:tcPr>
            <w:tcW w:type="dxa" w:w="1234"/>
          </w:tcPr>
          <w:p>
            <w:r>
              <w:rPr>
                <w:rFonts w:ascii="Calibri" w:hAnsi="Calibri"/>
                <w:sz w:val="22"/>
              </w:rPr>
              <w:t>$3.59B</w:t>
            </w:r>
          </w:p>
        </w:tc>
        <w:tc>
          <w:tcPr>
            <w:tcW w:type="dxa" w:w="1234"/>
          </w:tcPr>
          <w:p>
            <w:r>
              <w:rPr>
                <w:rFonts w:ascii="Calibri" w:hAnsi="Calibri"/>
                <w:b/>
                <w:color w:val="E5484D"/>
                <w:sz w:val="22"/>
              </w:rPr>
              <w:t>-2.8%</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EBITDA — FY 2026 ($B)</w:t>
            </w:r>
          </w:p>
        </w:tc>
        <w:tc>
          <w:tcPr>
            <w:tcW w:type="dxa" w:w="1234"/>
          </w:tcPr>
          <w:p>
            <w:r>
              <w:rPr>
                <w:rFonts w:ascii="Calibri" w:hAnsi="Calibri"/>
                <w:sz w:val="22"/>
              </w:rPr>
              <w:t>$12.88B</w:t>
            </w:r>
          </w:p>
        </w:tc>
        <w:tc>
          <w:tcPr>
            <w:tcW w:type="dxa" w:w="1234"/>
          </w:tcPr>
          <w:p>
            <w:r>
              <w:rPr>
                <w:rFonts w:ascii="Calibri" w:hAnsi="Calibri"/>
                <w:sz w:val="22"/>
              </w:rPr>
              <w:t>$11.32B</w:t>
            </w:r>
          </w:p>
        </w:tc>
        <w:tc>
          <w:tcPr>
            <w:tcW w:type="dxa" w:w="1234"/>
          </w:tcPr>
          <w:p>
            <w:r>
              <w:rPr>
                <w:rFonts w:ascii="Calibri" w:hAnsi="Calibri"/>
                <w:b/>
                <w:color w:val="E5484D"/>
                <w:sz w:val="22"/>
              </w:rPr>
              <w:t>-12.1%</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FCF — Q2 2026 ($B)</w:t>
            </w:r>
          </w:p>
        </w:tc>
        <w:tc>
          <w:tcPr>
            <w:tcW w:type="dxa" w:w="1234"/>
          </w:tcPr>
          <w:p>
            <w:r>
              <w:rPr>
                <w:rFonts w:ascii="Calibri" w:hAnsi="Calibri"/>
                <w:sz w:val="22"/>
              </w:rPr>
              <w:t>$2.09B</w:t>
            </w:r>
          </w:p>
        </w:tc>
        <w:tc>
          <w:tcPr>
            <w:tcW w:type="dxa" w:w="1234"/>
          </w:tcPr>
          <w:p>
            <w:r>
              <w:rPr>
                <w:rFonts w:ascii="Calibri" w:hAnsi="Calibri"/>
                <w:sz w:val="22"/>
              </w:rPr>
              <w:t>$2.15B</w:t>
            </w:r>
          </w:p>
        </w:tc>
        <w:tc>
          <w:tcPr>
            <w:tcW w:type="dxa" w:w="1234"/>
          </w:tcPr>
          <w:p>
            <w:r>
              <w:rPr>
                <w:rFonts w:ascii="Calibri" w:hAnsi="Calibri"/>
                <w:b/>
                <w:color w:val="30A46C"/>
                <w:sz w:val="22"/>
              </w:rPr>
              <w:t>+2.9%</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FCF — FY 2026 ($B)</w:t>
            </w:r>
          </w:p>
        </w:tc>
        <w:tc>
          <w:tcPr>
            <w:tcW w:type="dxa" w:w="1234"/>
          </w:tcPr>
          <w:p>
            <w:r>
              <w:rPr>
                <w:rFonts w:ascii="Calibri" w:hAnsi="Calibri"/>
                <w:sz w:val="22"/>
              </w:rPr>
              <w:t>$6.74B</w:t>
            </w:r>
          </w:p>
        </w:tc>
        <w:tc>
          <w:tcPr>
            <w:tcW w:type="dxa" w:w="1234"/>
          </w:tcPr>
          <w:p>
            <w:r>
              <w:rPr>
                <w:rFonts w:ascii="Calibri" w:hAnsi="Calibri"/>
                <w:sz w:val="22"/>
              </w:rPr>
              <w:t>$6.74B</w:t>
            </w:r>
          </w:p>
        </w:tc>
        <w:tc>
          <w:tcPr>
            <w:tcW w:type="dxa" w:w="1234"/>
          </w:tcPr>
          <w:p>
            <w:r>
              <w:rPr>
                <w:rFonts w:ascii="Calibri" w:hAnsi="Calibri"/>
                <w:sz w:val="22"/>
              </w:rPr>
              <w:t>Flat</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“Est. at Last Earnings” = consensus as of May 9, 2026 (5 trading days post Q1 print). Note: EBITDA FY 2026 consensus decline vs. post-Q1 baseline likely reflects oil price strip volatility in the as-of date comparison; Q2 2026 EBITDA consensus of $3.59B is still +55% YoY.</w:t>
      </w:r>
    </w:p>
    <w:p>
      <w:r>
        <w:rPr>
          <w:rFonts w:ascii="Calibri" w:hAnsi="Calibri"/>
          <w:color w:val="525866"/>
          <w:sz w:val="22"/>
        </w:rPr>
        <w:t>EPS and production estimates have drifted modestly higher since Q1 earnings, tracking the oil price windfall from the U.S.-Iran conflict. FCF estimates are stable, consistent with the higher capex guidance offset by higher revenues. The EBITDA FY figure reflects strip volatility in the baseline comparison window rather than a fundamental deterioration.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FANG is roughly </w:t>
      </w:r>
      <w:r>
        <w:rPr>
          <w:rFonts w:ascii="Calibri" w:hAnsi="Calibri"/>
          <w:b/>
          <w:color w:val="525866"/>
          <w:sz w:val="22"/>
        </w:rPr>
        <w:t>flat since Q1 earnings</w:t>
      </w:r>
      <w:r>
        <w:rPr>
          <w:rFonts w:ascii="Calibri" w:hAnsi="Calibri"/>
          <w:color w:val="525866"/>
          <w:sz w:val="22"/>
        </w:rPr>
        <w:t xml:space="preserve"> (May 4 close: $213.69 → July 31 close: $202.99, -5%), underperforming the S&amp;P 500 (+4%) but broadly in line with XOP (-2%), suggesting the stock is </w:t>
      </w:r>
      <w:r>
        <w:rPr>
          <w:rFonts w:ascii="Calibri" w:hAnsi="Calibri"/>
          <w:b/>
          <w:color w:val="525866"/>
          <w:sz w:val="22"/>
        </w:rPr>
        <w:t>tracking commodity sentiment</w:t>
      </w:r>
      <w:r>
        <w:rPr>
          <w:rFonts w:ascii="Calibri" w:hAnsi="Calibri"/>
          <w:color w:val="525866"/>
          <w:sz w:val="22"/>
        </w:rPr>
        <w:t xml:space="preserve"> rather than company-specific revisions. The recent recovery from the June lows (~$175) to ~$203 reflects the oil price surge from the Iran conflict escalation in mid-July.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FANG vs. XOP vs. S&amp;P 500 — Indexed to 100 at May 4, 2026 (Q1 2026 Earnings Date). Source: Yahoo Finance / Stock Price Data.</w:t>
      </w:r>
    </w:p>
    <w:p>
      <w:r>
        <w:rPr>
          <w:rFonts w:ascii="Calibri" w:hAnsi="Calibri"/>
          <w:color w:val="525866"/>
          <w:sz w:val="22"/>
        </w:rPr>
        <w:t xml:space="preserve">Key events since Q1 earnings: (1) </w:t>
      </w:r>
      <w:r>
        <w:rPr>
          <w:rFonts w:ascii="Calibri" w:hAnsi="Calibri"/>
          <w:b/>
          <w:color w:val="525866"/>
          <w:sz w:val="22"/>
        </w:rPr>
        <w:t>May 4–5</w:t>
      </w:r>
      <w:r>
        <w:rPr>
          <w:rFonts w:ascii="Calibri" w:hAnsi="Calibri"/>
          <w:color w:val="525866"/>
          <w:sz w:val="22"/>
        </w:rPr>
        <w:t xml:space="preserve">: Q1 2026 earnings beat — stock hit 52-week high, then pulled back as oil prices softened in May. (2) </w:t>
      </w:r>
      <w:r>
        <w:rPr>
          <w:rFonts w:ascii="Calibri" w:hAnsi="Calibri"/>
          <w:b/>
          <w:color w:val="525866"/>
          <w:sz w:val="22"/>
        </w:rPr>
        <w:t>June 12</w:t>
      </w:r>
      <w:r>
        <w:rPr>
          <w:rFonts w:ascii="Calibri" w:hAnsi="Calibri"/>
          <w:color w:val="525866"/>
          <w:sz w:val="22"/>
        </w:rPr>
        <w:t xml:space="preserve">: Credit facility amended — $3.0B facility, extended maturity to 2031, lower rates. (3) </w:t>
      </w:r>
      <w:r>
        <w:rPr>
          <w:rFonts w:ascii="Calibri" w:hAnsi="Calibri"/>
          <w:b/>
          <w:color w:val="525866"/>
          <w:sz w:val="22"/>
        </w:rPr>
        <w:t>Late June–early July</w:t>
      </w:r>
      <w:r>
        <w:rPr>
          <w:rFonts w:ascii="Calibri" w:hAnsi="Calibri"/>
          <w:color w:val="525866"/>
          <w:sz w:val="22"/>
        </w:rPr>
        <w:t xml:space="preserve">: Stock declined to ~$172 as oil prices softened and macro uncertainty weighed. (4) </w:t>
      </w:r>
      <w:r>
        <w:rPr>
          <w:rFonts w:ascii="Calibri" w:hAnsi="Calibri"/>
          <w:b/>
          <w:color w:val="525866"/>
          <w:sz w:val="22"/>
        </w:rPr>
        <w:t>July 7–23</w:t>
      </w:r>
      <w:r>
        <w:rPr>
          <w:rFonts w:ascii="Calibri" w:hAnsi="Calibri"/>
          <w:color w:val="525866"/>
          <w:sz w:val="22"/>
        </w:rPr>
        <w:t xml:space="preserve">: Sharp recovery as U.S.-Iran conflict escalated, Brent crossed $100/bbl, and Houthi threats on Saudi tankers opened a second chokepoint. (5) </w:t>
      </w:r>
      <w:r>
        <w:rPr>
          <w:rFonts w:ascii="Calibri" w:hAnsi="Calibri"/>
          <w:b/>
          <w:color w:val="525866"/>
          <w:sz w:val="22"/>
        </w:rPr>
        <w:t>July 13</w:t>
      </w:r>
      <w:r>
        <w:rPr>
          <w:rFonts w:ascii="Calibri" w:hAnsi="Calibri"/>
          <w:color w:val="525866"/>
          <w:sz w:val="22"/>
        </w:rPr>
        <w:t xml:space="preserve">: FANG pre-announced Q2 realized prices ($96.82/bbl unhedged), removing revenue uncertainty. (6) </w:t>
      </w:r>
      <w:r>
        <w:rPr>
          <w:rFonts w:ascii="Calibri" w:hAnsi="Calibri"/>
          <w:b/>
          <w:color w:val="525866"/>
          <w:sz w:val="22"/>
        </w:rPr>
        <w:t>July 27</w:t>
      </w:r>
      <w:r>
        <w:rPr>
          <w:rFonts w:ascii="Calibri" w:hAnsi="Calibri"/>
          <w:color w:val="525866"/>
          <w:sz w:val="22"/>
        </w:rPr>
        <w:t>: Stock pulled back ~4% as Trump paused Iran strikes, raising de-escalation hopes.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U.S.-Iran war and resulting oil price surge</w:t>
      </w:r>
      <w:r>
        <w:rPr>
          <w:rFonts w:ascii="Calibri" w:hAnsi="Calibri"/>
          <w:color w:val="525866"/>
          <w:sz w:val="22"/>
        </w:rPr>
        <w:t xml:space="preserve"> is the dominant development since Q1 earnings — it drove FANG’s Q2 realized oil price to $96.82/bbl (vs. $73.47 in Q1) and is the primary reason consensus EPS has surged ~65% since last earnings. The secondary watch item is the </w:t>
      </w:r>
      <w:r>
        <w:rPr>
          <w:rFonts w:ascii="Calibri" w:hAnsi="Calibri"/>
          <w:b/>
          <w:color w:val="525866"/>
          <w:sz w:val="22"/>
        </w:rPr>
        <w:t>Waha natural gas basis</w:t>
      </w:r>
      <w:r>
        <w:rPr>
          <w:rFonts w:ascii="Calibri" w:hAnsi="Calibri"/>
          <w:color w:val="525866"/>
          <w:sz w:val="22"/>
        </w:rPr>
        <w:t>, which remained deeply negative in Q2.</w:t>
      </w:r>
    </w:p>
    <w:p>
      <w:pPr>
        <w:pStyle w:val="ListBullet"/>
        <w:ind w:left="360" w:hanging="360"/>
      </w:pPr>
      <w:r>
        <w:rPr>
          <w:rFonts w:ascii="Calibri" w:hAnsi="Calibri"/>
          <w:b/>
          <w:color w:val="525866"/>
          <w:sz w:val="22"/>
        </w:rPr>
        <w:t>July 13, 2026 — FANG Pre-Announces Q2 Realized Prices (8-K):</w:t>
      </w:r>
      <w:r>
        <w:rPr>
          <w:rFonts w:ascii="Calibri" w:hAnsi="Calibri"/>
          <w:color w:val="525866"/>
          <w:sz w:val="22"/>
        </w:rPr>
        <w:t xml:space="preserve"> Diamondback pre-announced Q2 2026 unhedged oil realizations of $96.82/bbl (hedged: $94.33/bbl), natural gas at -$2.15/Mcf unhedged (-$0.34/Mcf hedged), and NGLs at $18.56/bbl. Net derivative cash gain of $113M. Removes the largest source of revenue uncertainty ahead of the print. </w:t>
      </w:r>
    </w:p>
    <w:p>
      <w:pPr>
        <w:pStyle w:val="ListBullet"/>
        <w:ind w:left="360" w:hanging="360"/>
      </w:pPr>
      <w:r>
        <w:rPr>
          <w:rFonts w:ascii="Calibri" w:hAnsi="Calibri"/>
          <w:b/>
          <w:color w:val="525866"/>
          <w:sz w:val="22"/>
        </w:rPr>
        <w:t>June 12, 2026 — Credit Agreement Amendment (8-K):</w:t>
      </w:r>
      <w:r>
        <w:rPr>
          <w:rFonts w:ascii="Calibri" w:hAnsi="Calibri"/>
          <w:color w:val="525866"/>
          <w:sz w:val="22"/>
        </w:rPr>
        <w:t xml:space="preserve"> FANG amended its revolving credit facility — increased commitments from $2.5B to $3.0B, extended maturity from June 2030 to June 2031, and reduced interest rates. Strengthens balance sheet flexibility and lowers cost of borrowing, consistent with management’s aggressive deleveraging posture.</w:t>
      </w:r>
    </w:p>
    <w:p>
      <w:pPr>
        <w:pStyle w:val="ListBullet"/>
        <w:ind w:left="360" w:hanging="360"/>
      </w:pPr>
      <w:r>
        <w:rPr>
          <w:rFonts w:ascii="Calibri" w:hAnsi="Calibri"/>
          <w:b/>
          <w:color w:val="525866"/>
          <w:sz w:val="22"/>
        </w:rPr>
        <w:t>July 23, 2026 — Brent Crosses $100/bbl:</w:t>
      </w:r>
      <w:r>
        <w:rPr>
          <w:rFonts w:ascii="Calibri" w:hAnsi="Calibri"/>
          <w:color w:val="525866"/>
          <w:sz w:val="22"/>
        </w:rPr>
        <w:t xml:space="preserve"> Brent crude crossed $100/bbl for the first time since late May after Houthi rebels claimed strikes on two Saudi oil tankers in the Red Sea, opening a second chokepoint alongside Hormuz disruptions. Strait of Hormuz vessel traffic fell 66% week-over-week (to 53 transits from 157). Directly positive for FANG’s Q3 realized prices.</w:t>
      </w:r>
    </w:p>
    <w:p>
      <w:pPr>
        <w:pStyle w:val="ListBullet"/>
        <w:ind w:left="360" w:hanging="360"/>
      </w:pPr>
      <w:r>
        <w:rPr>
          <w:rFonts w:ascii="Calibri" w:hAnsi="Calibri"/>
          <w:b/>
          <w:color w:val="525866"/>
          <w:sz w:val="22"/>
        </w:rPr>
        <w:t>July 31, 2026 — XOM &amp; CVX Q2 Earnings (Peer Read-Through):</w:t>
      </w:r>
      <w:r>
        <w:rPr>
          <w:rFonts w:ascii="Calibri" w:hAnsi="Calibri"/>
          <w:color w:val="525866"/>
          <w:sz w:val="22"/>
        </w:rPr>
        <w:t xml:space="preserve"> ExxonMobil reported Q2 adjusted EPS of $3.52 (missed $3.60 consensus) on Brent averaging $96.68/bbl; Chevron beat at $6.06 vs. $5.65 consensus with record US production. Both companies directed windfall profits to debt reduction rather than buyback increases, citing uncertainty about duration of price rally — consistent with FANG’s own capital allocation posture.</w:t>
      </w:r>
    </w:p>
    <w:p>
      <w:pPr>
        <w:pStyle w:val="ListBullet"/>
        <w:ind w:left="360" w:hanging="360"/>
      </w:pPr>
      <w:r>
        <w:rPr>
          <w:rFonts w:ascii="Calibri" w:hAnsi="Calibri"/>
          <w:b/>
          <w:color w:val="525866"/>
          <w:sz w:val="22"/>
        </w:rPr>
        <w:t>July 30, 2026 — Valero Q2 Earnings:</w:t>
      </w:r>
      <w:r>
        <w:rPr>
          <w:rFonts w:ascii="Calibri" w:hAnsi="Calibri"/>
          <w:color w:val="525866"/>
          <w:sz w:val="22"/>
        </w:rPr>
        <w:t xml:space="preserve"> Valero reported record Q2 adjusted EPS of $12.54 (vs. $10.12 consensus), with refining margins nearly doubling YoY to $23.62/bbl. Confirms the downstream is capturing the oil price windfall, validating the upstream pricing environment FANG operated in.</w:t>
      </w:r>
    </w:p>
    <w:p>
      <w:pPr>
        <w:pStyle w:val="ListBullet"/>
        <w:ind w:left="360" w:hanging="360"/>
      </w:pPr>
      <w:r>
        <w:rPr>
          <w:rFonts w:ascii="Calibri" w:hAnsi="Calibri"/>
          <w:b/>
          <w:color w:val="525866"/>
          <w:sz w:val="22"/>
        </w:rPr>
        <w:t>July 27, 2026 — Baker Hughes Q2 Earnings:</w:t>
      </w:r>
      <w:r>
        <w:rPr>
          <w:rFonts w:ascii="Calibri" w:hAnsi="Calibri"/>
          <w:color w:val="525866"/>
          <w:sz w:val="22"/>
        </w:rPr>
        <w:t xml:space="preserve"> BKR reported Q2 EPS of $0.64 (vs. $0.50 consensus) with IET orders of $7.1B (vs. $3.6B expected). Noted global E&amp;P spending expected to decline modestly in 2026, with growth in Latin America and offshore Africa offset by lower Middle East spending. </w:t>
      </w:r>
    </w:p>
    <w:p>
      <w:pPr>
        <w:pStyle w:val="ListBullet"/>
        <w:ind w:left="360" w:hanging="360"/>
      </w:pPr>
      <w:r>
        <w:rPr>
          <w:rFonts w:ascii="Calibri" w:hAnsi="Calibri"/>
          <w:b/>
          <w:color w:val="525866"/>
          <w:sz w:val="22"/>
        </w:rPr>
        <w:t>July 21, 2026 — Halliburton Q2 Earnings:</w:t>
      </w:r>
      <w:r>
        <w:rPr>
          <w:rFonts w:ascii="Calibri" w:hAnsi="Calibri"/>
          <w:color w:val="525866"/>
          <w:sz w:val="22"/>
        </w:rPr>
        <w:t xml:space="preserve"> HAL reported Q2 adjusted EPS of $0.55 (in line with $0.54 consensus) but missed on operating margins. Middle East/Asia revenue fell 10% YoY due to the Iran war. Stock fell 5.7%. </w:t>
      </w:r>
    </w:p>
    <w:p>
      <w:pPr>
        <w:pStyle w:val="ListBullet"/>
        <w:ind w:left="360" w:hanging="360"/>
      </w:pPr>
      <w:r>
        <w:rPr>
          <w:rFonts w:ascii="Calibri" w:hAnsi="Calibri"/>
          <w:b/>
          <w:color w:val="525866"/>
          <w:sz w:val="22"/>
        </w:rPr>
        <w:t>July 22, 2026 — Kinder Morgan Q2 Earnings:</w:t>
      </w:r>
      <w:r>
        <w:rPr>
          <w:rFonts w:ascii="Calibri" w:hAnsi="Calibri"/>
          <w:color w:val="525866"/>
          <w:sz w:val="22"/>
        </w:rPr>
        <w:t xml:space="preserve"> KMI beat Q2 estimates (adj. EPS $0.37 vs. $0.32 consensus), aided by booming Permian Basin output and rising natural gas demand from LNG exports and AI data centers. Transported 47,886 BBtu/d of natural gas, up from 44,818 BBtu/d YoY. </w:t>
      </w:r>
    </w:p>
    <w:p>
      <w:pPr>
        <w:pStyle w:val="ListBullet"/>
        <w:ind w:left="360" w:hanging="360"/>
      </w:pPr>
      <w:r>
        <w:rPr>
          <w:rFonts w:ascii="Calibri" w:hAnsi="Calibri"/>
          <w:b/>
          <w:color w:val="525866"/>
          <w:sz w:val="22"/>
        </w:rPr>
        <w:t>August 2, 2026 — Trump Calls Off Iran Strike:</w:t>
      </w:r>
      <w:r>
        <w:rPr>
          <w:rFonts w:ascii="Calibri" w:hAnsi="Calibri"/>
          <w:color w:val="525866"/>
          <w:sz w:val="22"/>
        </w:rPr>
        <w:t xml:space="preserve"> President Trump announced he called off a planned strike on Iran after receiving a request from Iran and other Middle Eastern countries, citing agreement on “perimeters of a deal” including opening of the Strait of Hormuz. WTI fell 4.5% to $80.89/bbl and Brent fell 4.4% to $84.10/bbl. Key risk: if a deal materializes, Q3 oil prices could be materially lower than Q2, pressuring forward estimates.</w:t>
      </w:r>
    </w:p>
    <w:p>
      <w:r>
        <w:br w:type="page"/>
      </w:r>
    </w:p>
    <w:p>
      <w:pPr>
        <w:pStyle w:val="Heading2"/>
      </w:pPr>
      <w:r>
        <w:rPr>
          <w:rFonts w:ascii="Calibri" w:hAnsi="Calibri"/>
          <w:b/>
          <w:color w:val="3B4259"/>
          <w:sz w:val="28"/>
        </w:rPr>
        <w:t>7. Peer Commentary &amp;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FANG’s Q2 print</w:t>
      </w:r>
      <w:r>
        <w:rPr>
          <w:rFonts w:ascii="Calibri" w:hAnsi="Calibri"/>
          <w:color w:val="525866"/>
          <w:sz w:val="22"/>
        </w:rPr>
        <w:t xml:space="preserve"> — Occidental’s pre-announced realized oil prices of $96.78/bbl confirm the pricing environment, EOG’s Q2 commodity data validates the macro backdrop, and Devon’s Permian-heavy capex plan signals continued basin activity. The key forward risk flagged by peers is </w:t>
      </w:r>
      <w:r>
        <w:rPr>
          <w:rFonts w:ascii="Calibri" w:hAnsi="Calibri"/>
          <w:b/>
          <w:color w:val="525866"/>
          <w:sz w:val="22"/>
        </w:rPr>
        <w:t>geopolitical de-escalation</w:t>
      </w:r>
      <w:r>
        <w:rPr>
          <w:rFonts w:ascii="Calibri" w:hAnsi="Calibri"/>
          <w:color w:val="525866"/>
          <w:sz w:val="22"/>
        </w:rPr>
        <w:t xml:space="preserve"> compressing Q3 oil prices.</w:t>
      </w:r>
    </w:p>
    <w:p>
      <w:r>
        <w:rPr>
          <w:rFonts w:ascii="Calibri" w:hAnsi="Calibri"/>
          <w:i/>
          <w:color w:val="525866"/>
          <w:sz w:val="22"/>
        </w:rPr>
        <w:t>Note: Only commentary published June 3–August 2, 2026 that explicitly addresses Q2 2026 conditions or forward Q3/FY2026 outlook is included below. Stale Q1 results discussion has been excluded.</w:t>
      </w:r>
    </w:p>
    <w:p>
      <w:pPr>
        <w:pStyle w:val="Heading3"/>
      </w:pPr>
      <w:r>
        <w:rPr>
          <w:rFonts w:ascii="Calibri" w:hAnsi="Calibri"/>
          <w:b/>
          <w:color w:val="3B4259"/>
          <w:sz w:val="24"/>
        </w:rPr>
        <w:t>Occidental Petroleum (OXY) — July 10, 2026 (8-K / Reuters)</w:t>
      </w:r>
    </w:p>
    <w:p>
      <w:r>
        <w:rPr>
          <w:rFonts w:ascii="Calibri" w:hAnsi="Calibri"/>
          <w:b/>
          <w:color w:val="525866"/>
          <w:sz w:val="22"/>
        </w:rPr>
        <w:t xml:space="preserve">Read-Through Relevance: </w:t>
      </w:r>
      <w:r>
        <w:rPr>
          <w:rFonts w:ascii="Calibri" w:hAnsi="Calibri"/>
          <w:color w:val="525866"/>
          <w:sz w:val="22"/>
        </w:rPr>
        <w:t>HIGH — Direct Q2 2026 realized price confirmation for Permian-focused E&amp;P operators.</w:t>
      </w:r>
    </w:p>
    <w:p>
      <w:pPr>
        <w:pStyle w:val="ListBullet"/>
        <w:ind w:left="360" w:hanging="360"/>
      </w:pPr>
      <w:r>
        <w:rPr>
          <w:rFonts w:ascii="Calibri" w:hAnsi="Calibri"/>
          <w:color w:val="525866"/>
          <w:sz w:val="22"/>
        </w:rPr>
        <w:t xml:space="preserve">OXY pre-announced Q2 2026 worldwide average realized oil prices of </w:t>
      </w:r>
      <w:r>
        <w:rPr>
          <w:rFonts w:ascii="Calibri" w:hAnsi="Calibri"/>
          <w:b/>
          <w:color w:val="525866"/>
          <w:sz w:val="22"/>
        </w:rPr>
        <w:t>$96.78/bbl</w:t>
      </w:r>
      <w:r>
        <w:rPr>
          <w:rFonts w:ascii="Calibri" w:hAnsi="Calibri"/>
          <w:color w:val="525866"/>
          <w:sz w:val="22"/>
        </w:rPr>
        <w:t xml:space="preserve"> — up 38.4% sequentially from $69.91/bbl in Q1 2026, driven by higher benchmark crude rates amid the U.S.-Iran conflict.</w:t>
      </w:r>
    </w:p>
    <w:p>
      <w:pPr>
        <w:pStyle w:val="ListBullet"/>
        <w:ind w:left="360" w:hanging="360"/>
      </w:pPr>
      <w:r>
        <w:rPr>
          <w:rFonts w:ascii="Calibri" w:hAnsi="Calibri"/>
          <w:color w:val="525866"/>
          <w:sz w:val="22"/>
        </w:rPr>
        <w:t xml:space="preserve">Benchmark Brent crude averaged </w:t>
      </w:r>
      <w:r>
        <w:rPr>
          <w:rFonts w:ascii="Calibri" w:hAnsi="Calibri"/>
          <w:b/>
          <w:color w:val="525866"/>
          <w:sz w:val="22"/>
        </w:rPr>
        <w:t>$96.68/bbl</w:t>
      </w:r>
      <w:r>
        <w:rPr>
          <w:rFonts w:ascii="Calibri" w:hAnsi="Calibri"/>
          <w:color w:val="525866"/>
          <w:sz w:val="22"/>
        </w:rPr>
        <w:t xml:space="preserve"> in Q2 (April–June), up 23% from Q1 — directly corroborating FANG’s pre-announced $96.82/bbl unhedged oil realization.</w:t>
      </w:r>
    </w:p>
    <w:p>
      <w:pPr>
        <w:pStyle w:val="ListBullet"/>
        <w:ind w:left="360" w:hanging="360"/>
      </w:pPr>
      <w:r>
        <w:rPr>
          <w:rFonts w:ascii="Calibri" w:hAnsi="Calibri"/>
          <w:color w:val="525866"/>
          <w:sz w:val="22"/>
        </w:rPr>
        <w:t xml:space="preserve">OXY worldwide realized natural gas prices averaged </w:t>
      </w:r>
      <w:r>
        <w:rPr>
          <w:rFonts w:ascii="Calibri" w:hAnsi="Calibri"/>
          <w:b/>
          <w:color w:val="525866"/>
          <w:sz w:val="22"/>
        </w:rPr>
        <w:t>-$0.80/Mcf</w:t>
      </w:r>
      <w:r>
        <w:rPr>
          <w:rFonts w:ascii="Calibri" w:hAnsi="Calibri"/>
          <w:color w:val="525866"/>
          <w:sz w:val="22"/>
        </w:rPr>
        <w:t xml:space="preserve"> in Q2 (vs. +$1.20/Mcf in Q1) — consistent with FANG’s -$2.15/Mcf unhedged Waha-exposed realization (FANG’s is worse due to higher Waha exposure).</w:t>
      </w:r>
    </w:p>
    <w:p>
      <w:pPr>
        <w:pStyle w:val="ListBullet"/>
        <w:ind w:left="360" w:hanging="360"/>
      </w:pPr>
      <w:r>
        <w:rPr>
          <w:rFonts w:ascii="Calibri" w:hAnsi="Calibri"/>
          <w:color w:val="525866"/>
          <w:sz w:val="22"/>
        </w:rPr>
        <w:t xml:space="preserve">OXY worldwide NGL prices rose ~30% to </w:t>
      </w:r>
      <w:r>
        <w:rPr>
          <w:rFonts w:ascii="Calibri" w:hAnsi="Calibri"/>
          <w:b/>
          <w:color w:val="525866"/>
          <w:sz w:val="22"/>
        </w:rPr>
        <w:t>$24.64/bbl</w:t>
      </w:r>
      <w:r>
        <w:rPr>
          <w:rFonts w:ascii="Calibri" w:hAnsi="Calibri"/>
          <w:color w:val="525866"/>
          <w:sz w:val="22"/>
        </w:rPr>
        <w:t xml:space="preserve"> (vs. $18.99/bbl in Q1) — positive read-through for FANG’s NGL revenue line (FANG guided $18.56/bbl for Q2 NGLs, suggesting FANG’s NGL mix may differ).</w:t>
      </w:r>
    </w:p>
    <w:p>
      <w:pPr>
        <w:pStyle w:val="ListBullet"/>
        <w:ind w:left="360" w:hanging="360"/>
      </w:pPr>
      <w:r>
        <w:rPr>
          <w:rFonts w:ascii="Calibri" w:hAnsi="Calibri"/>
          <w:b/>
          <w:color w:val="525866"/>
          <w:sz w:val="22"/>
        </w:rPr>
        <w:t xml:space="preserve">IMPLICATION: </w:t>
      </w:r>
      <w:r>
        <w:rPr>
          <w:rFonts w:ascii="Calibri" w:hAnsi="Calibri"/>
          <w:color w:val="525866"/>
          <w:sz w:val="22"/>
        </w:rPr>
        <w:t>OXY’s data confirms the Q2 oil pricing environment was as strong as FANG’s pre-announcement suggested. The negative gas realization is a known headwind but well-hedged at FANG.</w:t>
      </w:r>
    </w:p>
    <w:p>
      <w:pPr>
        <w:pStyle w:val="Heading3"/>
      </w:pPr>
      <w:r>
        <w:rPr>
          <w:rFonts w:ascii="Calibri" w:hAnsi="Calibri"/>
          <w:b/>
          <w:color w:val="3B4259"/>
          <w:sz w:val="24"/>
        </w:rPr>
        <w:t>EOG Resources (EOG) — July 9, 2026 (8-K)</w:t>
      </w:r>
    </w:p>
    <w:p>
      <w:r>
        <w:rPr>
          <w:rFonts w:ascii="Calibri" w:hAnsi="Calibri"/>
          <w:b/>
          <w:color w:val="525866"/>
          <w:sz w:val="22"/>
        </w:rPr>
        <w:t xml:space="preserve">Read-Through Relevance: </w:t>
      </w:r>
      <w:r>
        <w:rPr>
          <w:rFonts w:ascii="Calibri" w:hAnsi="Calibri"/>
          <w:color w:val="525866"/>
          <w:sz w:val="22"/>
        </w:rPr>
        <w:t>HIGH — EOG pre-announced Q2 2026 commodity price data and hedging activity.</w:t>
      </w:r>
    </w:p>
    <w:p>
      <w:pPr>
        <w:pStyle w:val="ListBullet"/>
        <w:ind w:left="360" w:hanging="360"/>
      </w:pPr>
      <w:r>
        <w:rPr>
          <w:rFonts w:ascii="Calibri" w:hAnsi="Calibri"/>
          <w:color w:val="525866"/>
          <w:sz w:val="22"/>
        </w:rPr>
        <w:t xml:space="preserve">EOG reported Q2 2026 NYMEX WTI averaged </w:t>
      </w:r>
      <w:r>
        <w:rPr>
          <w:rFonts w:ascii="Calibri" w:hAnsi="Calibri"/>
          <w:b/>
          <w:color w:val="525866"/>
          <w:sz w:val="22"/>
        </w:rPr>
        <w:t>$92.85/bbl</w:t>
      </w:r>
      <w:r>
        <w:rPr>
          <w:rFonts w:ascii="Calibri" w:hAnsi="Calibri"/>
          <w:color w:val="525866"/>
          <w:sz w:val="22"/>
        </w:rPr>
        <w:t xml:space="preserve"> and Henry Hub natural gas averaged </w:t>
      </w:r>
      <w:r>
        <w:rPr>
          <w:rFonts w:ascii="Calibri" w:hAnsi="Calibri"/>
          <w:b/>
          <w:color w:val="525866"/>
          <w:sz w:val="22"/>
        </w:rPr>
        <w:t>$2.89/MMBtu</w:t>
      </w:r>
      <w:r>
        <w:rPr>
          <w:rFonts w:ascii="Calibri" w:hAnsi="Calibri"/>
          <w:color w:val="525866"/>
          <w:sz w:val="22"/>
        </w:rPr>
        <w:t xml:space="preserve"> — confirming the commodity price environment that FANG operated in during Q2.</w:t>
      </w:r>
    </w:p>
    <w:p>
      <w:pPr>
        <w:pStyle w:val="ListBullet"/>
        <w:ind w:left="360" w:hanging="360"/>
      </w:pPr>
      <w:r>
        <w:rPr>
          <w:rFonts w:ascii="Calibri" w:hAnsi="Calibri"/>
          <w:color w:val="525866"/>
          <w:sz w:val="22"/>
        </w:rPr>
        <w:t xml:space="preserve">EOG received net cash of </w:t>
      </w:r>
      <w:r>
        <w:rPr>
          <w:rFonts w:ascii="Calibri" w:hAnsi="Calibri"/>
          <w:b/>
          <w:color w:val="525866"/>
          <w:sz w:val="22"/>
        </w:rPr>
        <w:t>$45M from derivative settlements</w:t>
      </w:r>
      <w:r>
        <w:rPr>
          <w:rFonts w:ascii="Calibri" w:hAnsi="Calibri"/>
          <w:color w:val="525866"/>
          <w:sz w:val="22"/>
        </w:rPr>
        <w:t xml:space="preserve"> in Q2 2026, consistent with FANG’s $113M net derivative cash gain (FANG had larger hedge positions given its scale).</w:t>
      </w:r>
    </w:p>
    <w:p>
      <w:pPr>
        <w:pStyle w:val="ListBullet"/>
        <w:ind w:left="360" w:hanging="360"/>
      </w:pPr>
      <w:r>
        <w:rPr>
          <w:rFonts w:ascii="Calibri" w:hAnsi="Calibri"/>
          <w:color w:val="525866"/>
          <w:sz w:val="22"/>
        </w:rPr>
        <w:t>EOG noted actual realizations differ from NYMEX due to “delivery location (basis), quality and appropriate revenue adjustments” — relevant context for FANG’s Waha basis exposure, which drove its natural gas realization to -$2.15/Mcf vs. Henry Hub’s +$2.89/MMBtu.</w:t>
      </w:r>
    </w:p>
    <w:p>
      <w:pPr>
        <w:pStyle w:val="ListBullet"/>
        <w:ind w:left="360" w:hanging="360"/>
      </w:pPr>
      <w:r>
        <w:rPr>
          <w:rFonts w:ascii="Calibri" w:hAnsi="Calibri"/>
          <w:b/>
          <w:color w:val="525866"/>
          <w:sz w:val="22"/>
        </w:rPr>
        <w:t xml:space="preserve">IMPLICATION: </w:t>
      </w:r>
      <w:r>
        <w:rPr>
          <w:rFonts w:ascii="Calibri" w:hAnsi="Calibri"/>
          <w:color w:val="525866"/>
          <w:sz w:val="22"/>
        </w:rPr>
        <w:t>EOG’s data validates the Q2 commodity backdrop. The wide gap between Henry Hub ($2.89) and FANG’s realized gas price (-$2.15) reflects the severity of Waha basis, which FANG has hedged but which remains a structural drag.</w:t>
      </w:r>
    </w:p>
    <w:p>
      <w:pPr>
        <w:pStyle w:val="Heading3"/>
      </w:pPr>
      <w:r>
        <w:rPr>
          <w:rFonts w:ascii="Calibri" w:hAnsi="Calibri"/>
          <w:b/>
          <w:color w:val="3B4259"/>
          <w:sz w:val="24"/>
        </w:rPr>
        <w:t>Devon Energy (DVN) — June 9, 2026 (Reuters)</w:t>
      </w:r>
    </w:p>
    <w:p>
      <w:r>
        <w:rPr>
          <w:rFonts w:ascii="Calibri" w:hAnsi="Calibri"/>
          <w:b/>
          <w:color w:val="525866"/>
          <w:sz w:val="22"/>
        </w:rPr>
        <w:t xml:space="preserve">Read-Through Relevance: </w:t>
      </w:r>
      <w:r>
        <w:rPr>
          <w:rFonts w:ascii="Calibri" w:hAnsi="Calibri"/>
          <w:color w:val="525866"/>
          <w:sz w:val="22"/>
        </w:rPr>
        <w:t>MEDIUM — Post-merger (Coterra) FY 2026 guidance provides Permian basin activity context.</w:t>
      </w:r>
    </w:p>
    <w:p>
      <w:pPr>
        <w:pStyle w:val="ListBullet"/>
        <w:ind w:left="360" w:hanging="360"/>
      </w:pPr>
      <w:r>
        <w:rPr>
          <w:rFonts w:ascii="Calibri" w:hAnsi="Calibri"/>
          <w:color w:val="525866"/>
          <w:sz w:val="22"/>
        </w:rPr>
        <w:t xml:space="preserve">Devon (post-Coterra merger) guided FY 2026 production of </w:t>
      </w:r>
      <w:r>
        <w:rPr>
          <w:rFonts w:ascii="Calibri" w:hAnsi="Calibri"/>
          <w:b/>
          <w:color w:val="525866"/>
          <w:sz w:val="22"/>
        </w:rPr>
        <w:t>1.38M BOE/d</w:t>
      </w:r>
      <w:r>
        <w:rPr>
          <w:rFonts w:ascii="Calibri" w:hAnsi="Calibri"/>
          <w:color w:val="525866"/>
          <w:sz w:val="22"/>
        </w:rPr>
        <w:t xml:space="preserve"> including 500K BO/d of oil, with </w:t>
      </w:r>
      <w:r>
        <w:rPr>
          <w:rFonts w:ascii="Calibri" w:hAnsi="Calibri"/>
          <w:b/>
          <w:color w:val="525866"/>
          <w:sz w:val="22"/>
        </w:rPr>
        <w:t>&gt;60% of $4.9B capex allocated to the Permian Basin</w:t>
      </w:r>
      <w:r>
        <w:rPr>
          <w:rFonts w:ascii="Calibri" w:hAnsi="Calibri"/>
          <w:color w:val="525866"/>
          <w:sz w:val="22"/>
        </w:rPr>
        <w:t>.</w:t>
      </w:r>
    </w:p>
    <w:p>
      <w:pPr>
        <w:pStyle w:val="ListBullet"/>
        <w:ind w:left="360" w:hanging="360"/>
      </w:pPr>
      <w:r>
        <w:rPr>
          <w:rFonts w:ascii="Calibri" w:hAnsi="Calibri"/>
          <w:color w:val="525866"/>
          <w:sz w:val="22"/>
        </w:rPr>
        <w:t>Devon targets returning up to 70% of free cash flow to shareholders via a $0.32/share quarterly fixed dividend and an $8B buyback program.</w:t>
      </w:r>
    </w:p>
    <w:p>
      <w:pPr>
        <w:pStyle w:val="ListBullet"/>
        <w:ind w:left="360" w:hanging="360"/>
      </w:pPr>
      <w:r>
        <w:rPr>
          <w:rFonts w:ascii="Calibri" w:hAnsi="Calibri"/>
          <w:b/>
          <w:color w:val="525866"/>
          <w:sz w:val="22"/>
        </w:rPr>
        <w:t xml:space="preserve">IMPLICATION: </w:t>
      </w:r>
      <w:r>
        <w:rPr>
          <w:rFonts w:ascii="Calibri" w:hAnsi="Calibri"/>
          <w:color w:val="525866"/>
          <w:sz w:val="22"/>
        </w:rPr>
        <w:t>Devon’s heavy Permian capex commitment signals continued strong basin activity, which could create modest service cost pressure for FANG. However, FANG management noted on the Q1 call that service inflation has been “pretty minimal thus far.” Devon’s shareholder return framework (up to 70% FCF) is more aggressive than FANG’s current posture (prioritizing debt reduction), which may create investor comparison pressure.</w:t>
      </w:r>
    </w:p>
    <w:p>
      <w:pPr>
        <w:pStyle w:val="Heading3"/>
      </w:pPr>
      <w:r>
        <w:rPr>
          <w:rFonts w:ascii="Calibri" w:hAnsi="Calibri"/>
          <w:b/>
          <w:color w:val="3B4259"/>
          <w:sz w:val="24"/>
        </w:rPr>
        <w:t>Matador Resources (MTDR) — July 22–23, 2026 (8-K)</w:t>
      </w:r>
    </w:p>
    <w:p>
      <w:r>
        <w:rPr>
          <w:rFonts w:ascii="Calibri" w:hAnsi="Calibri"/>
          <w:b/>
          <w:color w:val="525866"/>
          <w:sz w:val="22"/>
        </w:rPr>
        <w:t xml:space="preserve">Read-Through Relevance: </w:t>
      </w:r>
      <w:r>
        <w:rPr>
          <w:rFonts w:ascii="Calibri" w:hAnsi="Calibri"/>
          <w:color w:val="525866"/>
          <w:sz w:val="22"/>
        </w:rPr>
        <w:t>MEDIUM — Permian M&amp;A activity signals basin confidence and potential service cost implications.</w:t>
      </w:r>
    </w:p>
    <w:p>
      <w:pPr>
        <w:pStyle w:val="ListBullet"/>
        <w:ind w:left="360" w:hanging="360"/>
      </w:pPr>
      <w:r>
        <w:rPr>
          <w:rFonts w:ascii="Calibri" w:hAnsi="Calibri"/>
          <w:color w:val="525866"/>
          <w:sz w:val="22"/>
        </w:rPr>
        <w:t>Matador announced two Permian acquisitions (Paloma: $1.275B; Ridge Runner: undisclosed) with an effective date of June 1, 2026, targeting acreage in Eddy/Lea Counties (NM) and Lea/Winkler/Ward Counties (TX). Closings expected in early Q4 2026.</w:t>
      </w:r>
    </w:p>
    <w:p>
      <w:pPr>
        <w:pStyle w:val="ListBullet"/>
        <w:ind w:left="360" w:hanging="360"/>
      </w:pPr>
      <w:r>
        <w:rPr>
          <w:rFonts w:ascii="Calibri" w:hAnsi="Calibri"/>
          <w:color w:val="525866"/>
          <w:sz w:val="22"/>
        </w:rPr>
        <w:t>The acquisitions include both producing properties and substantial proved undeveloped acreage, signaling planned future drilling activity in the Permian.</w:t>
      </w:r>
    </w:p>
    <w:p>
      <w:pPr>
        <w:pStyle w:val="ListBullet"/>
        <w:ind w:left="360" w:hanging="360"/>
      </w:pPr>
      <w:r>
        <w:rPr>
          <w:rFonts w:ascii="Calibri" w:hAnsi="Calibri"/>
          <w:b/>
          <w:color w:val="525866"/>
          <w:sz w:val="22"/>
        </w:rPr>
        <w:t xml:space="preserve">IMPLICATION: </w:t>
      </w:r>
      <w:r>
        <w:rPr>
          <w:rFonts w:ascii="Calibri" w:hAnsi="Calibri"/>
          <w:color w:val="525866"/>
          <w:sz w:val="22"/>
        </w:rPr>
        <w:t>Matador’s willingness to deploy $1.275B+ in Permian acquisitions at current oil prices signals strong basin economics and confidence in the forward price environment. The effective date of June 1 means Matador’s Q2 results will include production from these assets, providing a partial read-through on Permian well performance. Increased basin activity could create modest upward pressure on oilfield service costs for FANG in H2 2026.</w:t>
      </w:r>
    </w:p>
    <w:p>
      <w:pPr>
        <w:pStyle w:val="Heading3"/>
      </w:pPr>
      <w:r>
        <w:rPr>
          <w:rFonts w:ascii="Calibri" w:hAnsi="Calibri"/>
          <w:b/>
          <w:color w:val="3B4259"/>
          <w:sz w:val="24"/>
        </w:rPr>
        <w:t>Kinder Morgan (KMI) — July 22, 2026 (Earnings)</w:t>
      </w:r>
    </w:p>
    <w:p>
      <w:r>
        <w:rPr>
          <w:rFonts w:ascii="Calibri" w:hAnsi="Calibri"/>
          <w:b/>
          <w:color w:val="525866"/>
          <w:sz w:val="22"/>
        </w:rPr>
        <w:t xml:space="preserve">Read-Through Relevance: </w:t>
      </w:r>
      <w:r>
        <w:rPr>
          <w:rFonts w:ascii="Calibri" w:hAnsi="Calibri"/>
          <w:color w:val="525866"/>
          <w:sz w:val="22"/>
        </w:rPr>
        <w:t>MEDIUM — Permian natural gas throughput data and demand outlook.</w:t>
      </w:r>
    </w:p>
    <w:p>
      <w:pPr>
        <w:pStyle w:val="ListBullet"/>
        <w:ind w:left="360" w:hanging="360"/>
      </w:pPr>
      <w:r>
        <w:rPr>
          <w:rFonts w:ascii="Calibri" w:hAnsi="Calibri"/>
          <w:color w:val="525866"/>
          <w:sz w:val="22"/>
        </w:rPr>
        <w:t xml:space="preserve">KMI transported </w:t>
      </w:r>
      <w:r>
        <w:rPr>
          <w:rFonts w:ascii="Calibri" w:hAnsi="Calibri"/>
          <w:b/>
          <w:color w:val="525866"/>
          <w:sz w:val="22"/>
        </w:rPr>
        <w:t>47,886 BBtu/d of natural gas</w:t>
      </w:r>
      <w:r>
        <w:rPr>
          <w:rFonts w:ascii="Calibri" w:hAnsi="Calibri"/>
          <w:color w:val="525866"/>
          <w:sz w:val="22"/>
        </w:rPr>
        <w:t xml:space="preserve"> in Q2 2026, up from 44,818 BBtu/d YoY, aided by booming Permian output and rising demand from LNG exports and AI data centers.</w:t>
      </w:r>
    </w:p>
    <w:p>
      <w:pPr>
        <w:pStyle w:val="ListBullet"/>
        <w:ind w:left="360" w:hanging="360"/>
      </w:pPr>
      <w:r>
        <w:rPr>
          <w:rFonts w:ascii="Calibri" w:hAnsi="Calibri"/>
          <w:color w:val="525866"/>
          <w:sz w:val="22"/>
        </w:rPr>
        <w:t>KMI beat Q2 estimates (adj. EPS $0.37 vs. $0.32 consensus), with strength driven by Permian Basin volumes.</w:t>
      </w:r>
    </w:p>
    <w:p>
      <w:pPr>
        <w:pStyle w:val="ListBullet"/>
        <w:ind w:left="360" w:hanging="360"/>
      </w:pPr>
      <w:r>
        <w:rPr>
          <w:rFonts w:ascii="Calibri" w:hAnsi="Calibri"/>
          <w:b/>
          <w:color w:val="525866"/>
          <w:sz w:val="22"/>
        </w:rPr>
        <w:t xml:space="preserve">IMPLICATION: </w:t>
      </w:r>
      <w:r>
        <w:rPr>
          <w:rFonts w:ascii="Calibri" w:hAnsi="Calibri"/>
          <w:color w:val="525866"/>
          <w:sz w:val="22"/>
        </w:rPr>
        <w:t>KMI’s strong Permian throughput data confirms robust production activity in FANG’s core operating region. The rising natural gas demand from LNG and AI data centers is a positive long-term signal for FANG’s natural gas monetization strategy (power/data center project with partners). However, Waha basis remained deeply negative in Q2 despite higher throughput, suggesting pipeline egress constraints persist — watch for FANG’s update on new pipeline capacity timing.</w:t>
      </w:r>
    </w:p>
    <w:p>
      <w:pPr>
        <w:pStyle w:val="Heading3"/>
      </w:pPr>
      <w:r>
        <w:rPr>
          <w:rFonts w:ascii="Calibri" w:hAnsi="Calibri"/>
          <w:b/>
          <w:color w:val="3B4259"/>
          <w:sz w:val="24"/>
        </w:rPr>
        <w:t>SLB (SLB) — July 24, 2026 (Earnings)</w:t>
      </w:r>
    </w:p>
    <w:p>
      <w:r>
        <w:rPr>
          <w:rFonts w:ascii="Calibri" w:hAnsi="Calibri"/>
          <w:b/>
          <w:color w:val="525866"/>
          <w:sz w:val="22"/>
        </w:rPr>
        <w:t xml:space="preserve">Read-Through Relevance: </w:t>
      </w:r>
      <w:r>
        <w:rPr>
          <w:rFonts w:ascii="Calibri" w:hAnsi="Calibri"/>
          <w:color w:val="525866"/>
          <w:sz w:val="22"/>
        </w:rPr>
        <w:t>LOW-MEDIUM — Oilfield services demand and cost environment.</w:t>
      </w:r>
    </w:p>
    <w:p>
      <w:pPr>
        <w:pStyle w:val="ListBullet"/>
        <w:ind w:left="360" w:hanging="360"/>
      </w:pPr>
      <w:r>
        <w:rPr>
          <w:rFonts w:ascii="Calibri" w:hAnsi="Calibri"/>
          <w:color w:val="525866"/>
          <w:sz w:val="22"/>
        </w:rPr>
        <w:t>SLB reported Q2 EPS of $0.55 (vs. $0.51 consensus) with revenue of $8.97B (vs. $8.67B consensus), driven by broad international growth that “more than offset the impact of continued disruptions in the Middle East.”</w:t>
      </w:r>
    </w:p>
    <w:p>
      <w:pPr>
        <w:pStyle w:val="ListBullet"/>
        <w:ind w:left="360" w:hanging="360"/>
      </w:pPr>
      <w:r>
        <w:rPr>
          <w:rFonts w:ascii="Calibri" w:hAnsi="Calibri"/>
          <w:color w:val="525866"/>
          <w:sz w:val="22"/>
        </w:rPr>
        <w:t>SLB stock rose ~11% on the day, its best performance in over a year.</w:t>
      </w:r>
    </w:p>
    <w:p>
      <w:pPr>
        <w:pStyle w:val="ListBullet"/>
        <w:ind w:left="360" w:hanging="360"/>
      </w:pPr>
      <w:r>
        <w:rPr>
          <w:rFonts w:ascii="Calibri" w:hAnsi="Calibri"/>
          <w:b/>
          <w:color w:val="525866"/>
          <w:sz w:val="22"/>
        </w:rPr>
        <w:t xml:space="preserve">IMPLICATION: </w:t>
      </w:r>
      <w:r>
        <w:rPr>
          <w:rFonts w:ascii="Calibri" w:hAnsi="Calibri"/>
          <w:color w:val="525866"/>
          <w:sz w:val="22"/>
        </w:rPr>
        <w:t>SLB’s beat despite Middle East headwinds suggests the oilfield services market remains healthy in North America and internationally. For FANG, this is a mild negative on service cost inflation risk, but management’s Q1 commentary noted “pretty minimal” inflation thus far. SLB’s data center revenue growth is a positive read-through for FANG’s power/data center natural gas monetization initiative.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w:t>
      </w:r>
      <w:r>
        <w:rPr>
          <w:rFonts w:ascii="Calibri" w:hAnsi="Calibri"/>
          <w:b/>
          <w:color w:val="525866"/>
          <w:sz w:val="22"/>
        </w:rPr>
        <w:t>entirely sales</w:t>
      </w:r>
      <w:r>
        <w:rPr>
          <w:rFonts w:ascii="Calibri" w:hAnsi="Calibri"/>
          <w:color w:val="525866"/>
          <w:sz w:val="22"/>
        </w:rPr>
        <w:t xml:space="preserve"> — no open-market buys. The most notable transaction is a </w:t>
      </w:r>
      <w:r>
        <w:rPr>
          <w:rFonts w:ascii="Calibri" w:hAnsi="Calibri"/>
          <w:b/>
          <w:color w:val="525866"/>
          <w:sz w:val="22"/>
        </w:rPr>
        <w:t>10M-share sale by 10% owner Lyndal Greth</w:t>
      </w:r>
      <w:r>
        <w:rPr>
          <w:rFonts w:ascii="Calibri" w:hAnsi="Calibri"/>
          <w:color w:val="525866"/>
          <w:sz w:val="22"/>
        </w:rPr>
        <w:t xml:space="preserve"> on June 4, which is large in absolute terms but appears to be a discretionary portfolio reduction by a major holder rather than a negative signal on fundamentals. CEO Van’t Hof’s 15,000-share sale on June 3 (discretionary, not 10b5-1) is worth noting but is small relative to his holdings.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Meloy, Charles Alvin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83,334</w:t>
            </w:r>
          </w:p>
        </w:tc>
        <w:tc>
          <w:tcPr>
            <w:tcW w:type="dxa" w:w="1440"/>
          </w:tcPr>
          <w:p>
            <w:r>
              <w:rPr>
                <w:rFonts w:ascii="Calibri" w:hAnsi="Calibri"/>
                <w:sz w:val="22"/>
              </w:rPr>
              <w:t>Jun 16, 2026</w:t>
            </w:r>
          </w:p>
        </w:tc>
        <w:tc>
          <w:tcPr>
            <w:tcW w:type="dxa" w:w="1440"/>
          </w:tcPr>
          <w:p>
            <w:r>
              <w:rPr>
                <w:rFonts w:ascii="Calibri" w:hAnsi="Calibri"/>
                <w:sz w:val="22"/>
              </w:rPr>
              <w:t>Indirect (Wolfrock Energy LLC); pre-planned 10b5-1 sale</w:t>
            </w:r>
          </w:p>
        </w:tc>
      </w:tr>
      <w:tr>
        <w:tc>
          <w:tcPr>
            <w:tcW w:type="dxa" w:w="1440"/>
          </w:tcPr>
          <w:p>
            <w:r>
              <w:rPr>
                <w:rFonts w:ascii="Calibri" w:hAnsi="Calibri"/>
                <w:sz w:val="22"/>
              </w:rPr>
              <w:t>Plaumann, Mark Lawrence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w:t>
            </w:r>
          </w:p>
        </w:tc>
        <w:tc>
          <w:tcPr>
            <w:tcW w:type="dxa" w:w="1440"/>
          </w:tcPr>
          <w:p>
            <w:r>
              <w:rPr>
                <w:rFonts w:ascii="Calibri" w:hAnsi="Calibri"/>
                <w:sz w:val="22"/>
              </w:rPr>
              <w:t>Jun 9, 2026</w:t>
            </w:r>
          </w:p>
        </w:tc>
        <w:tc>
          <w:tcPr>
            <w:tcW w:type="dxa" w:w="1440"/>
          </w:tcPr>
          <w:p>
            <w:r>
              <w:rPr>
                <w:rFonts w:ascii="Calibri" w:hAnsi="Calibri"/>
                <w:sz w:val="22"/>
              </w:rPr>
              <w:t>Small discretionary sale; immaterial</w:t>
            </w:r>
          </w:p>
        </w:tc>
      </w:tr>
      <w:tr>
        <w:tc>
          <w:tcPr>
            <w:tcW w:type="dxa" w:w="1440"/>
          </w:tcPr>
          <w:p>
            <w:r>
              <w:rPr>
                <w:rFonts w:ascii="Calibri" w:hAnsi="Calibri"/>
                <w:sz w:val="22"/>
              </w:rPr>
              <w:t>Dick, Teresa L.</w:t>
            </w:r>
          </w:p>
        </w:tc>
        <w:tc>
          <w:tcPr>
            <w:tcW w:type="dxa" w:w="1440"/>
          </w:tcPr>
          <w:p>
            <w:r>
              <w:rPr>
                <w:rFonts w:ascii="Calibri" w:hAnsi="Calibri"/>
                <w:sz w:val="22"/>
              </w:rPr>
              <w:t>CAO, EVP, Asst. Secretary</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Jun 4, 2026</w:t>
            </w:r>
          </w:p>
        </w:tc>
        <w:tc>
          <w:tcPr>
            <w:tcW w:type="dxa" w:w="1440"/>
          </w:tcPr>
          <w:p>
            <w:r>
              <w:rPr>
                <w:rFonts w:ascii="Calibri" w:hAnsi="Calibri"/>
                <w:sz w:val="22"/>
              </w:rPr>
              <w:t>Discretionary; part of ongoing pattern of periodic sales</w:t>
            </w:r>
          </w:p>
        </w:tc>
      </w:tr>
      <w:tr>
        <w:tc>
          <w:tcPr>
            <w:tcW w:type="dxa" w:w="1440"/>
          </w:tcPr>
          <w:p>
            <w:r>
              <w:rPr>
                <w:rFonts w:ascii="Calibri" w:hAnsi="Calibri"/>
                <w:sz w:val="22"/>
              </w:rPr>
              <w:t>Greth, Lyndal</w:t>
            </w:r>
          </w:p>
        </w:tc>
        <w:tc>
          <w:tcPr>
            <w:tcW w:type="dxa" w:w="1440"/>
          </w:tcPr>
          <w:p>
            <w:r>
              <w:rPr>
                <w:rFonts w:ascii="Calibri" w:hAnsi="Calibri"/>
                <w:sz w:val="22"/>
              </w:rPr>
              <w:t>10% Owner</w:t>
            </w:r>
          </w:p>
        </w:tc>
        <w:tc>
          <w:tcPr>
            <w:tcW w:type="dxa" w:w="1440"/>
          </w:tcPr>
          <w:p>
            <w:r>
              <w:rPr>
                <w:rFonts w:ascii="Calibri" w:hAnsi="Calibri"/>
                <w:sz w:val="22"/>
              </w:rPr>
              <w:t>Open Market Sale</w:t>
            </w:r>
          </w:p>
        </w:tc>
        <w:tc>
          <w:tcPr>
            <w:tcW w:type="dxa" w:w="1440"/>
          </w:tcPr>
          <w:p>
            <w:r>
              <w:rPr>
                <w:rFonts w:ascii="Calibri" w:hAnsi="Calibri"/>
                <w:sz w:val="22"/>
              </w:rPr>
              <w:t>10,000,000</w:t>
            </w:r>
          </w:p>
        </w:tc>
        <w:tc>
          <w:tcPr>
            <w:tcW w:type="dxa" w:w="1440"/>
          </w:tcPr>
          <w:p>
            <w:r>
              <w:rPr>
                <w:rFonts w:ascii="Calibri" w:hAnsi="Calibri"/>
                <w:sz w:val="22"/>
              </w:rPr>
              <w:t>Jun 4, 2026</w:t>
            </w:r>
          </w:p>
        </w:tc>
        <w:tc>
          <w:tcPr>
            <w:tcW w:type="dxa" w:w="1440"/>
          </w:tcPr>
          <w:p>
            <w:r>
              <w:rPr>
                <w:rFonts w:ascii="Calibri" w:hAnsi="Calibri"/>
                <w:sz w:val="22"/>
              </w:rPr>
              <w:t>Large block sale by major holder; discretionary; not 10b5-1</w:t>
            </w:r>
          </w:p>
        </w:tc>
      </w:tr>
      <w:tr>
        <w:tc>
          <w:tcPr>
            <w:tcW w:type="dxa" w:w="1440"/>
          </w:tcPr>
          <w:p>
            <w:r>
              <w:rPr>
                <w:rFonts w:ascii="Calibri" w:hAnsi="Calibri"/>
                <w:sz w:val="22"/>
              </w:rPr>
              <w:t>Van’t Hof, Matthew Kaes</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15,000</w:t>
            </w:r>
          </w:p>
        </w:tc>
        <w:tc>
          <w:tcPr>
            <w:tcW w:type="dxa" w:w="1440"/>
          </w:tcPr>
          <w:p>
            <w:r>
              <w:rPr>
                <w:rFonts w:ascii="Calibri" w:hAnsi="Calibri"/>
                <w:sz w:val="22"/>
              </w:rPr>
              <w:t>Jun 3, 2026</w:t>
            </w:r>
          </w:p>
        </w:tc>
        <w:tc>
          <w:tcPr>
            <w:tcW w:type="dxa" w:w="1440"/>
          </w:tcPr>
          <w:p>
            <w:r>
              <w:rPr>
                <w:rFonts w:ascii="Calibri" w:hAnsi="Calibri"/>
                <w:sz w:val="22"/>
              </w:rPr>
              <w:t>Discretionary; not 10b5-1; retains 133,614 shares post-sale</w:t>
            </w:r>
          </w:p>
        </w:tc>
      </w:tr>
      <w:tr>
        <w:tc>
          <w:tcPr>
            <w:tcW w:type="dxa" w:w="1440"/>
          </w:tcPr>
          <w:p>
            <w:r>
              <w:rPr>
                <w:rFonts w:ascii="Calibri" w:hAnsi="Calibri"/>
                <w:sz w:val="22"/>
              </w:rPr>
              <w:t>Zmigrosky, Matt</w:t>
            </w:r>
          </w:p>
        </w:tc>
        <w:tc>
          <w:tcPr>
            <w:tcW w:type="dxa" w:w="1440"/>
          </w:tcPr>
          <w:p>
            <w:r>
              <w:rPr>
                <w:rFonts w:ascii="Calibri" w:hAnsi="Calibri"/>
                <w:sz w:val="22"/>
              </w:rPr>
              <w:t>EVP, Chief Legal &amp; Admin Officer</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Jun 3, 2026</w:t>
            </w:r>
          </w:p>
        </w:tc>
        <w:tc>
          <w:tcPr>
            <w:tcW w:type="dxa" w:w="1440"/>
          </w:tcPr>
          <w:p>
            <w:r>
              <w:rPr>
                <w:rFonts w:ascii="Calibri" w:hAnsi="Calibri"/>
                <w:sz w:val="22"/>
              </w:rPr>
              <w:t>Discretionary; not 10b5-1</w:t>
            </w:r>
          </w:p>
        </w:tc>
      </w:tr>
      <w:tr>
        <w:tc>
          <w:tcPr>
            <w:tcW w:type="dxa" w:w="1440"/>
          </w:tcPr>
          <w:p>
            <w:r>
              <w:rPr>
                <w:rFonts w:ascii="Calibri" w:hAnsi="Calibri"/>
                <w:sz w:val="22"/>
              </w:rPr>
              <w:t>Dick, Teresa L.</w:t>
            </w:r>
          </w:p>
        </w:tc>
        <w:tc>
          <w:tcPr>
            <w:tcW w:type="dxa" w:w="1440"/>
          </w:tcPr>
          <w:p>
            <w:r>
              <w:rPr>
                <w:rFonts w:ascii="Calibri" w:hAnsi="Calibri"/>
                <w:sz w:val="22"/>
              </w:rPr>
              <w:t>CAO, EVP, Asst. Secretary</w:t>
            </w:r>
          </w:p>
        </w:tc>
        <w:tc>
          <w:tcPr>
            <w:tcW w:type="dxa" w:w="1440"/>
          </w:tcPr>
          <w:p>
            <w:r>
              <w:rPr>
                <w:rFonts w:ascii="Calibri" w:hAnsi="Calibri"/>
                <w:sz w:val="22"/>
              </w:rPr>
              <w:t>Open Market Sale</w:t>
            </w:r>
          </w:p>
        </w:tc>
        <w:tc>
          <w:tcPr>
            <w:tcW w:type="dxa" w:w="1440"/>
          </w:tcPr>
          <w:p>
            <w:r>
              <w:rPr>
                <w:rFonts w:ascii="Calibri" w:hAnsi="Calibri"/>
                <w:sz w:val="22"/>
              </w:rPr>
              <w:t>7,000</w:t>
            </w:r>
          </w:p>
        </w:tc>
        <w:tc>
          <w:tcPr>
            <w:tcW w:type="dxa" w:w="1440"/>
          </w:tcPr>
          <w:p>
            <w:r>
              <w:rPr>
                <w:rFonts w:ascii="Calibri" w:hAnsi="Calibri"/>
                <w:sz w:val="22"/>
              </w:rPr>
              <w:t>Jun 2, 2026</w:t>
            </w:r>
          </w:p>
        </w:tc>
        <w:tc>
          <w:tcPr>
            <w:tcW w:type="dxa" w:w="1440"/>
          </w:tcPr>
          <w:p>
            <w:r>
              <w:rPr>
                <w:rFonts w:ascii="Calibri" w:hAnsi="Calibri"/>
                <w:sz w:val="22"/>
              </w:rPr>
              <w:t>Discretionary; ongoing pattern</w:t>
            </w:r>
          </w:p>
        </w:tc>
      </w:tr>
      <w:tr>
        <w:tc>
          <w:tcPr>
            <w:tcW w:type="dxa" w:w="1440"/>
          </w:tcPr>
          <w:p>
            <w:r>
              <w:rPr>
                <w:rFonts w:ascii="Calibri" w:hAnsi="Calibri"/>
                <w:sz w:val="22"/>
              </w:rPr>
              <w:t>Zmigrosky, Matt</w:t>
            </w:r>
          </w:p>
        </w:tc>
        <w:tc>
          <w:tcPr>
            <w:tcW w:type="dxa" w:w="1440"/>
          </w:tcPr>
          <w:p>
            <w:r>
              <w:rPr>
                <w:rFonts w:ascii="Calibri" w:hAnsi="Calibri"/>
                <w:sz w:val="22"/>
              </w:rPr>
              <w:t>EVP, Chief Legal &amp; Admin Officer</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Jun 1, 2026</w:t>
            </w:r>
          </w:p>
        </w:tc>
        <w:tc>
          <w:tcPr>
            <w:tcW w:type="dxa" w:w="1440"/>
          </w:tcPr>
          <w:p>
            <w:r>
              <w:rPr>
                <w:rFonts w:ascii="Calibri" w:hAnsi="Calibri"/>
                <w:sz w:val="22"/>
              </w:rPr>
              <w:t>Discretionary; not 10b5-1</w:t>
            </w:r>
          </w:p>
        </w:tc>
      </w:tr>
      <w:tr>
        <w:tc>
          <w:tcPr>
            <w:tcW w:type="dxa" w:w="1440"/>
          </w:tcPr>
          <w:p>
            <w:r>
              <w:rPr>
                <w:rFonts w:ascii="Calibri" w:hAnsi="Calibri"/>
                <w:sz w:val="22"/>
              </w:rPr>
              <w:t>Dick, Teresa L.</w:t>
            </w:r>
          </w:p>
        </w:tc>
        <w:tc>
          <w:tcPr>
            <w:tcW w:type="dxa" w:w="1440"/>
          </w:tcPr>
          <w:p>
            <w:r>
              <w:rPr>
                <w:rFonts w:ascii="Calibri" w:hAnsi="Calibri"/>
                <w:sz w:val="22"/>
              </w:rPr>
              <w:t>CAO, EVP, Asst. Secretary</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May 19, 2026</w:t>
            </w:r>
          </w:p>
        </w:tc>
        <w:tc>
          <w:tcPr>
            <w:tcW w:type="dxa" w:w="1440"/>
          </w:tcPr>
          <w:p>
            <w:r>
              <w:rPr>
                <w:rFonts w:ascii="Calibri" w:hAnsi="Calibri"/>
                <w:sz w:val="22"/>
              </w:rPr>
              <w:t>Discretionary; ongoing pattern</w:t>
            </w:r>
          </w:p>
        </w:tc>
      </w:tr>
      <w:tr>
        <w:tc>
          <w:tcPr>
            <w:tcW w:type="dxa" w:w="1440"/>
          </w:tcPr>
          <w:p>
            <w:r>
              <w:rPr>
                <w:rFonts w:ascii="Calibri" w:hAnsi="Calibri"/>
                <w:sz w:val="22"/>
              </w:rPr>
              <w:t>Barkmann, Albert</w:t>
            </w:r>
          </w:p>
        </w:tc>
        <w:tc>
          <w:tcPr>
            <w:tcW w:type="dxa" w:w="1440"/>
          </w:tcPr>
          <w:p>
            <w:r>
              <w:rPr>
                <w:rFonts w:ascii="Calibri" w:hAnsi="Calibri"/>
                <w:sz w:val="22"/>
              </w:rPr>
              <w:t>EVP &amp; Chief Engineer</w:t>
            </w:r>
          </w:p>
        </w:tc>
        <w:tc>
          <w:tcPr>
            <w:tcW w:type="dxa" w:w="1440"/>
          </w:tcPr>
          <w:p>
            <w:r>
              <w:rPr>
                <w:rFonts w:ascii="Calibri" w:hAnsi="Calibri"/>
                <w:sz w:val="22"/>
              </w:rPr>
              <w:t>Open Market Sale</w:t>
            </w:r>
          </w:p>
        </w:tc>
        <w:tc>
          <w:tcPr>
            <w:tcW w:type="dxa" w:w="1440"/>
          </w:tcPr>
          <w:p>
            <w:r>
              <w:rPr>
                <w:rFonts w:ascii="Calibri" w:hAnsi="Calibri"/>
                <w:sz w:val="22"/>
              </w:rPr>
              <w:t>3,000</w:t>
            </w:r>
          </w:p>
        </w:tc>
        <w:tc>
          <w:tcPr>
            <w:tcW w:type="dxa" w:w="1440"/>
          </w:tcPr>
          <w:p>
            <w:r>
              <w:rPr>
                <w:rFonts w:ascii="Calibri" w:hAnsi="Calibri"/>
                <w:sz w:val="22"/>
              </w:rPr>
              <w:t>May 15, 2026</w:t>
            </w:r>
          </w:p>
        </w:tc>
        <w:tc>
          <w:tcPr>
            <w:tcW w:type="dxa" w:w="1440"/>
          </w:tcPr>
          <w:p>
            <w:r>
              <w:rPr>
                <w:rFonts w:ascii="Calibri" w:hAnsi="Calibri"/>
                <w:sz w:val="22"/>
              </w:rPr>
              <w:t>Discretionary; not 10b5-1</w:t>
            </w:r>
          </w:p>
        </w:tc>
      </w:tr>
      <w:tr>
        <w:tc>
          <w:tcPr>
            <w:tcW w:type="dxa" w:w="1440"/>
          </w:tcPr>
          <w:p>
            <w:r>
              <w:rPr>
                <w:rFonts w:ascii="Calibri" w:hAnsi="Calibri"/>
                <w:sz w:val="22"/>
              </w:rPr>
              <w:t>Thompson, Jere W. III</w:t>
            </w:r>
          </w:p>
        </w:tc>
        <w:tc>
          <w:tcPr>
            <w:tcW w:type="dxa" w:w="1440"/>
          </w:tcPr>
          <w:p>
            <w:r>
              <w:rPr>
                <w:rFonts w:ascii="Calibri" w:hAnsi="Calibri"/>
                <w:sz w:val="22"/>
              </w:rPr>
              <w:t>CFO, EVP</w:t>
            </w:r>
          </w:p>
        </w:tc>
        <w:tc>
          <w:tcPr>
            <w:tcW w:type="dxa" w:w="1440"/>
          </w:tcPr>
          <w:p>
            <w:r>
              <w:rPr>
                <w:rFonts w:ascii="Calibri" w:hAnsi="Calibri"/>
                <w:sz w:val="22"/>
              </w:rPr>
              <w:t>Open Market Sale</w:t>
            </w:r>
          </w:p>
        </w:tc>
        <w:tc>
          <w:tcPr>
            <w:tcW w:type="dxa" w:w="1440"/>
          </w:tcPr>
          <w:p>
            <w:r>
              <w:rPr>
                <w:rFonts w:ascii="Calibri" w:hAnsi="Calibri"/>
                <w:sz w:val="22"/>
              </w:rPr>
              <w:t>1,000</w:t>
            </w:r>
          </w:p>
        </w:tc>
        <w:tc>
          <w:tcPr>
            <w:tcW w:type="dxa" w:w="1440"/>
          </w:tcPr>
          <w:p>
            <w:r>
              <w:rPr>
                <w:rFonts w:ascii="Calibri" w:hAnsi="Calibri"/>
                <w:sz w:val="22"/>
              </w:rPr>
              <w:t>May 15, 2026</w:t>
            </w:r>
          </w:p>
        </w:tc>
        <w:tc>
          <w:tcPr>
            <w:tcW w:type="dxa" w:w="1440"/>
          </w:tcPr>
          <w:p>
            <w:r>
              <w:rPr>
                <w:rFonts w:ascii="Calibri" w:hAnsi="Calibri"/>
                <w:sz w:val="22"/>
              </w:rPr>
              <w:t>Small discretionary sale; immaterial</w:t>
            </w:r>
          </w:p>
        </w:tc>
      </w:tr>
      <w:tr>
        <w:tc>
          <w:tcPr>
            <w:tcW w:type="dxa" w:w="1440"/>
          </w:tcPr>
          <w:p>
            <w:r>
              <w:rPr>
                <w:rFonts w:ascii="Calibri" w:hAnsi="Calibri"/>
                <w:sz w:val="22"/>
              </w:rPr>
              <w:t>Dick, Teresa L.</w:t>
            </w:r>
          </w:p>
        </w:tc>
        <w:tc>
          <w:tcPr>
            <w:tcW w:type="dxa" w:w="1440"/>
          </w:tcPr>
          <w:p>
            <w:r>
              <w:rPr>
                <w:rFonts w:ascii="Calibri" w:hAnsi="Calibri"/>
                <w:sz w:val="22"/>
              </w:rPr>
              <w:t>CAO, EVP, Asst. Secretary</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May 14, 2026</w:t>
            </w:r>
          </w:p>
        </w:tc>
        <w:tc>
          <w:tcPr>
            <w:tcW w:type="dxa" w:w="1440"/>
          </w:tcPr>
          <w:p>
            <w:r>
              <w:rPr>
                <w:rFonts w:ascii="Calibri" w:hAnsi="Calibri"/>
                <w:sz w:val="22"/>
              </w:rPr>
              <w:t>Discretionary; ongoing pattern</w:t>
            </w:r>
          </w:p>
        </w:tc>
      </w:tr>
      <w:tr>
        <w:tc>
          <w:tcPr>
            <w:tcW w:type="dxa" w:w="1440"/>
          </w:tcPr>
          <w:p>
            <w:r>
              <w:rPr>
                <w:rFonts w:ascii="Calibri" w:hAnsi="Calibri"/>
                <w:sz w:val="22"/>
              </w:rPr>
              <w:t>Zmigrosky, Matt</w:t>
            </w:r>
          </w:p>
        </w:tc>
        <w:tc>
          <w:tcPr>
            <w:tcW w:type="dxa" w:w="1440"/>
          </w:tcPr>
          <w:p>
            <w:r>
              <w:rPr>
                <w:rFonts w:ascii="Calibri" w:hAnsi="Calibri"/>
                <w:sz w:val="22"/>
              </w:rPr>
              <w:t>EVP, Chief Legal &amp; Admin Officer</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May 13, 2026</w:t>
            </w:r>
          </w:p>
        </w:tc>
        <w:tc>
          <w:tcPr>
            <w:tcW w:type="dxa" w:w="1440"/>
          </w:tcPr>
          <w:p>
            <w:r>
              <w:rPr>
                <w:rFonts w:ascii="Calibri" w:hAnsi="Calibri"/>
                <w:sz w:val="22"/>
              </w:rPr>
              <w:t>Discretionary; not 10b5-1</w:t>
            </w:r>
          </w:p>
        </w:tc>
      </w:tr>
      <w:tr>
        <w:tc>
          <w:tcPr>
            <w:tcW w:type="dxa" w:w="1440"/>
          </w:tcPr>
          <w:p>
            <w:r>
              <w:rPr>
                <w:rFonts w:ascii="Calibri" w:hAnsi="Calibri"/>
                <w:sz w:val="22"/>
              </w:rPr>
              <w:t>Meloy, Charles Alvin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7,857</w:t>
            </w:r>
          </w:p>
        </w:tc>
        <w:tc>
          <w:tcPr>
            <w:tcW w:type="dxa" w:w="1440"/>
          </w:tcPr>
          <w:p>
            <w:r>
              <w:rPr>
                <w:rFonts w:ascii="Calibri" w:hAnsi="Calibri"/>
                <w:sz w:val="22"/>
              </w:rPr>
              <w:t>May 7–8, 2026</w:t>
            </w:r>
          </w:p>
        </w:tc>
        <w:tc>
          <w:tcPr>
            <w:tcW w:type="dxa" w:w="1440"/>
          </w:tcPr>
          <w:p>
            <w:r>
              <w:rPr>
                <w:rFonts w:ascii="Calibri" w:hAnsi="Calibri"/>
                <w:sz w:val="22"/>
              </w:rPr>
              <w:t>Indirect (Wolfrock Energy LLC); pre-planned 10b5-1 sale</w:t>
            </w:r>
          </w:p>
        </w:tc>
      </w:tr>
    </w:tbl>
    <w:p>
      <w:r>
        <w:rPr>
          <w:rFonts w:ascii="Calibri" w:hAnsi="Calibri"/>
          <w:i/>
          <w:color w:val="525866"/>
          <w:sz w:val="22"/>
        </w:rPr>
        <w:t>Source: SEC Form 4 Filings Database.</w:t>
      </w:r>
    </w:p>
    <w:p>
      <w:r>
        <w:rPr>
          <w:rFonts w:ascii="Calibri" w:hAnsi="Calibri"/>
          <w:b/>
          <w:color w:val="525866"/>
          <w:sz w:val="22"/>
        </w:rPr>
        <w:t xml:space="preserve">Assessment: </w:t>
      </w:r>
      <w:r>
        <w:rPr>
          <w:rFonts w:ascii="Calibri" w:hAnsi="Calibri"/>
          <w:color w:val="525866"/>
          <w:sz w:val="22"/>
        </w:rPr>
        <w:t xml:space="preserve">The insider selling pattern is broad-based but not alarming — most transactions are small and consistent with periodic portfolio management. The Greth 10M-share sale is the largest in absolute terms but reflects a major holder reducing a concentrated position, not a fundamental concern. Notably, the CEO’s 15,000-share discretionary sale on June 3 (not 10b5-1) occurred at approximately $210/share, near the post-Q1 high — worth monitoring but not a red flag given his remaining 133,614-share position. </w:t>
      </w:r>
    </w:p>
    <w:p>
      <w:r>
        <w:rPr>
          <w:rFonts w:ascii="Calibri" w:hAnsi="Calibri"/>
          <w:color w:val="525866"/>
          <w:sz w:val="22"/>
        </w:rPr>
        <w:t>No open-market buys were recorded in the period. The absence of insider buying despite the stock’s pullback from ~$213 to ~$172 in June is a mild negative signal, though management’s stated preference for debt reduction over buybacks (including of their own shares) provides context.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