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fe-earnings-predictions--2026-07-28"/>
    <w:p>
      <w:pPr>
        <w:pStyle w:val="Heading1"/>
      </w:pPr>
      <w:r>
        <w:t xml:space="preserve">FE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FE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Core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~$0.53 vs. cons $0.54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~$3.65B vs. cons $3.60B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FE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Data-center contracted demand (GW signed this Q)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~2-3 GW signed vs. cons/mgmt guide ~4 GW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FE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Core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reaffirm</w:t>
            </w:r>
            <w:r>
              <w:t xml:space="preserve"> </w:t>
            </w:r>
            <m:oMath>
              <m:r>
                <m:t>2.62</m:t>
              </m:r>
              <m:r>
                <m:rPr>
                  <m:sty m:val="p"/>
                </m:rPr>
                <m:t>−</m:t>
              </m:r>
            </m:oMath>
            <w:r>
              <w:t xml:space="preserve">2.82 (mid $2.72) vs. cons $2.74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FE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Long-term Core EPS CAGR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6-8% near top end (~7.5%) vs. cons ~7% (2026-2030)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WV gas-plant CPCN / plan-update timeline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ruling now ~Mar 2027 / plan update ~1H2027 vs. prior early-Q4 2026 expectation (2H2026)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Energize365 capex plan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36</m:t>
              </m:r>
              <m:r>
                <m:t>B</m:t>
              </m:r>
              <m:r>
                <m:t>h</m:t>
              </m:r>
              <m:r>
                <m:t>e</m:t>
              </m:r>
              <m:r>
                <m:t>l</m:t>
              </m:r>
              <m:r>
                <m:t>d</m:t>
              </m:r>
              <m:r>
                <m:rPr>
                  <m:sty m:val="p"/>
                </m:rPr>
                <m:t>(</m:t>
              </m:r>
              <m:r>
                <m:t>u</m:t>
              </m:r>
              <m:r>
                <m:t>p</m:t>
              </m:r>
              <m:r>
                <m:t>s</m:t>
              </m:r>
              <m:r>
                <m:t>i</m:t>
              </m:r>
              <m:r>
                <m:t>d</m:t>
              </m:r>
              <m:r>
                <m:t>e</m:t>
              </m:r>
              <m:r>
                <m:t>t</m:t>
              </m:r>
              <m:r>
                <m:t>o</m:t>
              </m:r>
              <m:r>
                <m:t> </m:t>
              </m:r>
            </m:oMath>
            <w:r>
              <w:t xml:space="preserve">38B if WV added) vs. cons $36B (2026-2030)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Rate-base CAGR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~10% (path to ~11% pending WV) vs. cons ~10% (2026-2030)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-0.8%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FE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-1.8% (FADE)</w:t>
            </w:r>
          </w:p>
        </w:tc>
        <w:tc>
          <w:tcPr/>
          <w:p>
            <w:pPr>
              <w:pStyle w:val="Compact"/>
            </w:pPr>
            <w:r>
              <w:t xml:space="preserve">Low-drama quarter with guidance reaffirmed but no fresh upgrade: the WV CPCN ruling and plan-update catalyst have slipped to ~March/1H2027, so there is no vehicle for positive out-year revisions. Stock has re-rated ~+9% YTD back near highs into the print, so 'reassurance on timing' is already priced; H2-weighted earnings and any soft Q2/weather leave estimates flat-to-down. Expect the modest initial reaction to fade as the delayed catalyst and lack of revisions reassert.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2026-07-28T01:37:36Z</dcterms:created>
  <dcterms:modified xsi:type="dcterms:W3CDTF">2026-07-28T01:37:36Z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