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e-earnings-predictions--2026-07-28"/>
    <w:p>
      <w:pPr>
        <w:pStyle w:val="Heading1"/>
      </w:pPr>
      <w:r>
        <w:t xml:space="preserve">FE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(non-GAAP)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0.53 (blended Street: Barchart/VA $0.56, Zacks $0.49, MarketBeat/LSEG</w:t>
            </w:r>
            <w:r>
              <w:t xml:space="preserve"> </w:t>
            </w:r>
            <m:oMath>
              <m:r>
                <m:t>0.51</m:t>
              </m:r>
              <m:r>
                <m:rPr>
                  <m:sty m:val="p"/>
                </m:rPr>
                <m:t>−</m:t>
              </m:r>
            </m:oMath>
            <w:r>
              <w:t xml:space="preserve">0.60)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3.70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3.65B (range</w:t>
            </w:r>
            <w:r>
              <w:t xml:space="preserve"> </w:t>
            </w:r>
            <m:oMath>
              <m:r>
                <m:t>3.59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3.75B across trackers)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 O&amp;M expense (y/y change, cost discipline metric)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~-5% y/y vs. cons ~-3% y/y (Street modeling less aggressive cost cuts than Q1's ~5% pace)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2.62</m:t>
              </m:r>
              <m:r>
                <m:rPr>
                  <m:sty m:val="p"/>
                </m:rPr>
                <m:t>−</m:t>
              </m:r>
            </m:oMath>
            <w:r>
              <w:t xml:space="preserve">2.82 (midpoint $2.72) vs. cons $2.74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Core EPS CAGR (2026-2030, off $36B Energize365 plan)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 (top end of 6-8% range) vs. cons ~7% (2026-2030 CAGR)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Company-wide contracted large-load/data-center demand pipeline conversion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 GW newly contracted vs. prior ~2.0 GW baseline cited at Q1 (target for Q2 2026 quarter-end)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(FADE)</w:t>
            </w:r>
          </w:p>
        </w:tc>
        <w:tc>
          <w:tcPr/>
          <w:p>
            <w:pPr>
              <w:pStyle w:val="Compact"/>
            </w:pPr>
            <w:r>
              <w:t xml:space="preserve">Stock is already near 52-week highs (~$49-50) heading into the print, pricing in continued execution; management's own Q1 signal that most of 2026's EPS growth is back-half weighted caps upside from a Q2 beat, and reaffirmed (not raised) full-year guidance combined with still-pending Maidsville CPCN ruling and contested Ohio TYRP leaves limited near-term positive revision catalysts, so any initial pop from a Core EPS/O&amp;M beat likely fades as investors rotate focus to H2 execution risk and rate-case timing rather than extending gains.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2026-07-28T01:38:14Z</dcterms:created>
  <dcterms:modified xsi:type="dcterms:W3CDTF">2026-07-28T01:38:14Z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