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e-earnings-predictions--2026-07-28"/>
    <w:p>
      <w:pPr>
        <w:pStyle w:val="Heading1"/>
      </w:pPr>
      <w:r>
        <w:t xml:space="preserve">FE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~$0.57 vs. cons $0.56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~$3.65B vs. cons $3.64B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data-center demand by 2035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~7.6 GW vs. cons 8.0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~$2.72 midpoint vs. cons $2.74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~$6.0B vs. cons $6.0B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 vs. cons 7.5%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-0.7% (FADE)</w:t>
            </w:r>
          </w:p>
        </w:tc>
        <w:tc>
          <w:tcPr/>
          <w:p>
            <w:pPr>
              <w:pStyle w:val="Compact"/>
            </w:pPr>
            <w:r>
              <w:t xml:space="preserve">The likely contracted-load shortfall drives an initial de-rating, but reaffirmed ~</w:t>
            </w:r>
            <m:oMath>
              <m:r>
                <m:t>2.72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2.74 consensus and ~7.5% long-term CAGR versus ~7.5% consensus leave out-period estimates broadly unchanged; without an implicit earnings cut, the initial selloff should partially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2026-07-28T01:38:11Z</dcterms:created>
  <dcterms:modified xsi:type="dcterms:W3CDTF">2026-07-28T01:38:11Z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