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9611873045c03a14a0aa9bdd980665f7f5cf04"/>
    <w:p>
      <w:pPr>
        <w:pStyle w:val="Heading1"/>
      </w:pPr>
      <w:r>
        <w:t xml:space="preserve">FirstEnergy (NYSE: FE) — 2026Q2 Earnings Preview</w:t>
      </w:r>
    </w:p>
    <w:p>
      <w:pPr>
        <w:pStyle w:val="BlockText"/>
      </w:pPr>
      <w:r>
        <w:rPr>
          <w:b/>
          <w:bCs/>
        </w:rPr>
        <w:t xml:space="preserve">Timing clarification:</w:t>
      </w:r>
      <w:r>
        <w:t xml:space="preserve"> </w:t>
      </w:r>
      <w:r>
        <w:t xml:space="preserve">FirstEnergy is scheduled to release second-quarter results</w:t>
      </w:r>
      <w:r>
        <w:t xml:space="preserve"> </w:t>
      </w:r>
      <w:r>
        <w:rPr>
          <w:b/>
          <w:bCs/>
        </w:rPr>
        <w:t xml:space="preserve">after the market closes today, Tuesday, July 28, 2026</w:t>
      </w:r>
      <w:r>
        <w:t xml:space="preserve">. The earnings call is</w:t>
      </w:r>
      <w:r>
        <w:t xml:space="preserve"> </w:t>
      </w:r>
      <w:r>
        <w:rPr>
          <w:b/>
          <w:bCs/>
        </w:rPr>
        <w:t xml:space="preserve">tomorrow, Wednesday, July 29, at 9:00 a.m. EDT</w:t>
      </w:r>
      <w:r>
        <w:t xml:space="preserve">.</w:t>
      </w:r>
    </w:p>
    <w:bookmarkStart w:id="9" w:name="investment-view-going-into-the-report"/>
    <w:p>
      <w:pPr>
        <w:pStyle w:val="Heading2"/>
      </w:pPr>
      <w:r>
        <w:t xml:space="preserve">Investment view going into the report</w:t>
      </w:r>
    </w:p>
    <w:p>
      <w:pPr>
        <w:pStyle w:val="FirstParagraph"/>
      </w:pPr>
      <w:r>
        <w:t xml:space="preserve">The quarter’s EPS number matters, but the more consequential questions concern the durability—and potential expansion—of FirstEnergy’s long-term capital plan.</w:t>
      </w:r>
    </w:p>
    <w:p>
      <w:pPr>
        <w:pStyle w:val="BodyText"/>
      </w:pPr>
      <w:r>
        <w:t xml:space="preserve">FE entered the quarter with solid operating momentum: first-quarter core EPS rose 7.5%, formula-rate investments were producing double-digit transmission rate-base growth, and management reaffirmed both its 2026 guidance and long-term growth target. The central debate now is whether data-center demand and West Virginia generation can add meaningful upside without creating affordability, regulatory, or financing problems.</w:t>
      </w:r>
    </w:p>
    <w:p>
      <w:pPr>
        <w:pStyle w:val="BodyText"/>
      </w:pPr>
      <w:r>
        <w:t xml:space="preserve">The cleanest positive outcome would be:</w:t>
      </w:r>
    </w:p>
    <w:p>
      <w:pPr>
        <w:pStyle w:val="Compact"/>
        <w:numPr>
          <w:ilvl w:val="0"/>
          <w:numId w:val="1001"/>
        </w:numPr>
      </w:pPr>
      <w:r>
        <w:t xml:space="preserve">Reaffirmed or improved 2026 guidance;</w:t>
      </w:r>
    </w:p>
    <w:p>
      <w:pPr>
        <w:pStyle w:val="Compact"/>
        <w:numPr>
          <w:ilvl w:val="0"/>
          <w:numId w:val="1001"/>
        </w:numPr>
      </w:pPr>
      <w:r>
        <w:t xml:space="preserve">Confirmation that earnings growth remains weighted toward the second half;</w:t>
      </w:r>
    </w:p>
    <w:p>
      <w:pPr>
        <w:pStyle w:val="Compact"/>
        <w:numPr>
          <w:ilvl w:val="0"/>
          <w:numId w:val="1001"/>
        </w:numPr>
      </w:pPr>
      <w:r>
        <w:t xml:space="preserve">Meaningful conversion of the data-center pipeline into contracted load;</w:t>
      </w:r>
    </w:p>
    <w:p>
      <w:pPr>
        <w:pStyle w:val="Compact"/>
        <w:numPr>
          <w:ilvl w:val="0"/>
          <w:numId w:val="1001"/>
        </w:numPr>
      </w:pPr>
      <w:r>
        <w:t xml:space="preserve">Continued confidence in West Virginia generation approval; and</w:t>
      </w:r>
    </w:p>
    <w:p>
      <w:pPr>
        <w:pStyle w:val="Compact"/>
        <w:numPr>
          <w:ilvl w:val="0"/>
          <w:numId w:val="1001"/>
        </w:numPr>
      </w:pPr>
      <w:r>
        <w:t xml:space="preserve">No deterioration in capital funding, regulatory relationships, or cost control.</w:t>
      </w:r>
    </w:p>
    <w:bookmarkEnd w:id="9"/>
    <w:bookmarkStart w:id="10" w:name="key-reference-points"/>
    <w:p>
      <w:pPr>
        <w:pStyle w:val="Heading2"/>
      </w:pPr>
      <w:r>
        <w:t xml:space="preserve">Key reference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reference point</w:t>
            </w:r>
          </w:p>
        </w:tc>
      </w:tr>
      <w:tr>
        <w:tc>
          <w:tcPr/>
          <w:p>
            <w:pPr>
              <w:pStyle w:val="Compact"/>
            </w:pPr>
            <w:r>
              <w:t xml:space="preserve">2026 core EPS guidance</w:t>
            </w:r>
          </w:p>
        </w:tc>
        <w:tc>
          <w:tcPr/>
          <w:p>
            <w:pPr>
              <w:pStyle w:val="Compact"/>
              <w:jc w:val="right"/>
            </w:pPr>
            <m:oMath>
              <m:r>
                <m:t>2.62</m:t>
              </m:r>
              <m:r>
                <m:rPr>
                  <m:sty m:val="p"/>
                </m:rPr>
                <m:t>–</m:t>
              </m:r>
            </m:oMath>
            <w:r>
              <w:rPr>
                <w:b/>
                <w:bCs/>
              </w:rPr>
              <w:t xml:space="preserve">2.82</w:t>
            </w:r>
          </w:p>
        </w:tc>
      </w:tr>
      <w:tr>
        <w:tc>
          <w:tcPr/>
          <w:p>
            <w:pPr>
              <w:pStyle w:val="Compact"/>
            </w:pPr>
            <w:r>
              <w:t xml:space="preserve">Guidance midpoint</w:t>
            </w:r>
          </w:p>
        </w:tc>
        <w:tc>
          <w:tcPr/>
          <w:p>
            <w:pPr>
              <w:pStyle w:val="Compact"/>
              <w:jc w:val="right"/>
            </w:pPr>
            <w:r>
              <w:rPr>
                <w:b/>
                <w:bCs/>
              </w:rPr>
              <w:t xml:space="preserve">$2.72</w:t>
            </w:r>
          </w:p>
        </w:tc>
      </w:tr>
      <w:tr>
        <w:tc>
          <w:tcPr/>
          <w:p>
            <w:pPr>
              <w:pStyle w:val="Compact"/>
            </w:pPr>
            <w:r>
              <w:t xml:space="preserve">1Q26 core EPS</w:t>
            </w:r>
          </w:p>
        </w:tc>
        <w:tc>
          <w:tcPr/>
          <w:p>
            <w:pPr>
              <w:pStyle w:val="Compact"/>
              <w:jc w:val="right"/>
            </w:pPr>
            <w:r>
              <w:rPr>
                <w:b/>
                <w:bCs/>
              </w:rPr>
              <w:t xml:space="preserve">$0.72</w:t>
            </w:r>
            <w:r>
              <w:t xml:space="preserve">, up 7.5% YoY</w:t>
            </w:r>
          </w:p>
        </w:tc>
      </w:tr>
      <w:tr>
        <w:tc>
          <w:tcPr/>
          <w:p>
            <w:pPr>
              <w:pStyle w:val="Compact"/>
            </w:pPr>
            <w:r>
              <w:t xml:space="preserve">2Q25 core EPS comparison</w:t>
            </w:r>
          </w:p>
        </w:tc>
        <w:tc>
          <w:tcPr/>
          <w:p>
            <w:pPr>
              <w:pStyle w:val="Compact"/>
              <w:jc w:val="right"/>
            </w:pPr>
            <w:r>
              <w:rPr>
                <w:b/>
                <w:bCs/>
              </w:rPr>
              <w:t xml:space="preserve">$0.52</w:t>
            </w:r>
          </w:p>
        </w:tc>
      </w:tr>
      <w:tr>
        <w:tc>
          <w:tcPr/>
          <w:p>
            <w:pPr>
              <w:pStyle w:val="Compact"/>
            </w:pPr>
            <w:r>
              <w:t xml:space="preserve">2026 capital plan</w:t>
            </w:r>
          </w:p>
        </w:tc>
        <w:tc>
          <w:tcPr/>
          <w:p>
            <w:pPr>
              <w:pStyle w:val="Compact"/>
              <w:jc w:val="right"/>
            </w:pPr>
            <w:r>
              <w:rPr>
                <w:b/>
                <w:bCs/>
              </w:rPr>
              <w:t xml:space="preserve">$6.0 billion</w:t>
            </w:r>
          </w:p>
        </w:tc>
      </w:tr>
      <w:tr>
        <w:tc>
          <w:tcPr/>
          <w:p>
            <w:pPr>
              <w:pStyle w:val="Compact"/>
            </w:pPr>
            <w:r>
              <w:t xml:space="preserve">1Q26 capital deployed</w:t>
            </w:r>
          </w:p>
        </w:tc>
        <w:tc>
          <w:tcPr/>
          <w:p>
            <w:pPr>
              <w:pStyle w:val="Compact"/>
              <w:jc w:val="right"/>
            </w:pPr>
            <w:r>
              <w:rPr>
                <w:b/>
                <w:bCs/>
              </w:rPr>
              <w:t xml:space="preserve">$1.4 billion</w:t>
            </w:r>
            <w:r>
              <w:t xml:space="preserve">, up 33% YoY</w:t>
            </w:r>
          </w:p>
        </w:tc>
      </w:tr>
      <w:tr>
        <w:tc>
          <w:tcPr/>
          <w:p>
            <w:pPr>
              <w:pStyle w:val="Compact"/>
            </w:pPr>
            <w:r>
              <w:t xml:space="preserve">2026–2030 capital plan</w:t>
            </w:r>
          </w:p>
        </w:tc>
        <w:tc>
          <w:tcPr/>
          <w:p>
            <w:pPr>
              <w:pStyle w:val="Compact"/>
              <w:jc w:val="right"/>
            </w:pPr>
            <w:r>
              <w:rPr>
                <w:b/>
                <w:bCs/>
              </w:rPr>
              <w:t xml:space="preserve">$36 billion</w:t>
            </w:r>
          </w:p>
        </w:tc>
      </w:tr>
      <w:tr>
        <w:tc>
          <w:tcPr/>
          <w:p>
            <w:pPr>
              <w:pStyle w:val="Compact"/>
            </w:pPr>
            <w:r>
              <w:t xml:space="preserve">Planned rate-base CAGR</w:t>
            </w:r>
          </w:p>
        </w:tc>
        <w:tc>
          <w:tcPr/>
          <w:p>
            <w:pPr>
              <w:pStyle w:val="Compact"/>
              <w:jc w:val="right"/>
            </w:pPr>
            <w:r>
              <w:t xml:space="preserve">Approximately</w:t>
            </w:r>
            <w:r>
              <w:t xml:space="preserve"> </w:t>
            </w:r>
            <w:r>
              <w:rPr>
                <w:b/>
                <w:bCs/>
              </w:rPr>
              <w:t xml:space="preserve">10%</w:t>
            </w:r>
          </w:p>
        </w:tc>
      </w:tr>
      <w:tr>
        <w:tc>
          <w:tcPr/>
          <w:p>
            <w:pPr>
              <w:pStyle w:val="Compact"/>
            </w:pPr>
            <w:r>
              <w:t xml:space="preserve">Long-term core EPS growth</w:t>
            </w:r>
          </w:p>
        </w:tc>
        <w:tc>
          <w:tcPr/>
          <w:p>
            <w:pPr>
              <w:pStyle w:val="Compact"/>
              <w:jc w:val="right"/>
            </w:pPr>
            <w:r>
              <w:t xml:space="preserve">Near the top of</w:t>
            </w:r>
            <w:r>
              <w:t xml:space="preserve"> </w:t>
            </w:r>
            <w:r>
              <w:rPr>
                <w:b/>
                <w:bCs/>
              </w:rPr>
              <w:t xml:space="preserve">6%–8%</w:t>
            </w:r>
          </w:p>
        </w:tc>
      </w:tr>
      <w:tr>
        <w:tc>
          <w:tcPr/>
          <w:p>
            <w:pPr>
              <w:pStyle w:val="Compact"/>
            </w:pPr>
            <w:r>
              <w:t xml:space="preserve">Trailing consolidated earned ROE at 1Q26</w:t>
            </w:r>
          </w:p>
        </w:tc>
        <w:tc>
          <w:tcPr/>
          <w:p>
            <w:pPr>
              <w:pStyle w:val="Compact"/>
              <w:jc w:val="right"/>
            </w:pPr>
            <w:r>
              <w:rPr>
                <w:b/>
                <w:bCs/>
              </w:rPr>
              <w:t xml:space="preserve">9.8%</w:t>
            </w:r>
          </w:p>
        </w:tc>
      </w:tr>
      <w:tr>
        <w:tc>
          <w:tcPr/>
          <w:p>
            <w:pPr>
              <w:pStyle w:val="Compact"/>
            </w:pPr>
            <w:r>
              <w:t xml:space="preserve">2035 contracted data-center demand at 1Q26</w:t>
            </w:r>
          </w:p>
        </w:tc>
        <w:tc>
          <w:tcPr/>
          <w:p>
            <w:pPr>
              <w:pStyle w:val="Compact"/>
              <w:jc w:val="right"/>
            </w:pPr>
            <w:r>
              <w:rPr>
                <w:b/>
                <w:bCs/>
              </w:rPr>
              <w:t xml:space="preserve">4.3 GW</w:t>
            </w:r>
          </w:p>
        </w:tc>
      </w:tr>
      <w:tr>
        <w:tc>
          <w:tcPr/>
          <w:p>
            <w:pPr>
              <w:pStyle w:val="Compact"/>
            </w:pPr>
            <w:r>
              <w:t xml:space="preserve">2035 contracted plus pipeline demand</w:t>
            </w:r>
          </w:p>
        </w:tc>
        <w:tc>
          <w:tcPr/>
          <w:p>
            <w:pPr>
              <w:pStyle w:val="Compact"/>
              <w:jc w:val="right"/>
            </w:pPr>
            <w:r>
              <w:rPr>
                <w:b/>
                <w:bCs/>
              </w:rPr>
              <w:t xml:space="preserve">19.1 GW</w:t>
            </w:r>
          </w:p>
        </w:tc>
      </w:tr>
      <w:tr>
        <w:tc>
          <w:tcPr/>
          <w:p>
            <w:pPr>
              <w:pStyle w:val="Compact"/>
            </w:pPr>
            <w:r>
              <w:t xml:space="preserve">Latest available FE close, July 27</w:t>
            </w:r>
          </w:p>
        </w:tc>
        <w:tc>
          <w:tcPr/>
          <w:p>
            <w:pPr>
              <w:pStyle w:val="Compact"/>
              <w:jc w:val="right"/>
            </w:pPr>
            <w:r>
              <w:rPr>
                <w:b/>
                <w:bCs/>
              </w:rPr>
              <w:t xml:space="preserve">$49.33</w:t>
            </w:r>
          </w:p>
        </w:tc>
      </w:tr>
    </w:tbl>
    <w:p>
      <w:pPr>
        <w:pStyle w:val="BodyText"/>
      </w:pPr>
      <w:r>
        <w:t xml:space="preserve">FE had earned</w:t>
      </w:r>
      <w:r>
        <w:t xml:space="preserve"> </w:t>
      </w:r>
      <m:oMath>
        <m:r>
          <m:t>0.72</m:t>
        </m:r>
        <m:r>
          <m:t>i</m:t>
        </m:r>
        <m:r>
          <m:t>n</m:t>
        </m:r>
        <m:r>
          <m:t>t</m:t>
        </m:r>
        <m:r>
          <m:t>h</m:t>
        </m:r>
        <m:r>
          <m:t>e</m:t>
        </m:r>
        <m:r>
          <m:t>f</m:t>
        </m:r>
        <m:r>
          <m:t>i</m:t>
        </m:r>
        <m:r>
          <m:t>r</m:t>
        </m:r>
        <m:r>
          <m:t>s</m:t>
        </m:r>
        <m:r>
          <m:t>t</m:t>
        </m:r>
        <m:r>
          <m:t>q</m:t>
        </m:r>
        <m:r>
          <m:t>u</m:t>
        </m:r>
        <m:r>
          <m:t>a</m:t>
        </m:r>
        <m:r>
          <m:t>r</m:t>
        </m:r>
        <m:r>
          <m:t>t</m:t>
        </m:r>
        <m:r>
          <m:t>e</m:t>
        </m:r>
        <m:r>
          <m:t>r</m:t>
        </m:r>
        <m:r>
          <m:rPr>
            <m:sty m:val="p"/>
          </m:rPr>
          <m:t>,</m:t>
        </m:r>
        <m:r>
          <m:t>l</m:t>
        </m:r>
        <m:r>
          <m:t>e</m:t>
        </m:r>
        <m:r>
          <m:t>a</m:t>
        </m:r>
        <m:r>
          <m:t>v</m:t>
        </m:r>
        <m:r>
          <m:t>i</m:t>
        </m:r>
        <m:r>
          <m:t>n</m:t>
        </m:r>
        <m:r>
          <m:t>g</m:t>
        </m:r>
        <m:r>
          <m:rPr>
            <m:sty m:val="p"/>
          </m:rPr>
          <m:t>*</m:t>
        </m:r>
        <m:r>
          <m:rPr>
            <m:sty m:val="p"/>
          </m:rPr>
          <m:t>*</m:t>
        </m:r>
      </m:oMath>
      <w:r>
        <w:t xml:space="preserve">1.90–$2.10 per share** to achieve its full-year guidance. Management previously said most of the remaining year-over-year growth would materialize in the second half. That makes the guidance commentary and quarterly cadence more important than a small Q2 beat or miss.</w:t>
      </w:r>
    </w:p>
    <w:bookmarkEnd w:id="10"/>
    <w:bookmarkStart w:id="18" w:name="what-to-watch"/>
    <w:p>
      <w:pPr>
        <w:pStyle w:val="Heading2"/>
      </w:pPr>
      <w:r>
        <w:t xml:space="preserve">What to watch</w:t>
      </w:r>
    </w:p>
    <w:bookmarkStart w:id="11" w:name="Xb2277b63f945236d4c0545e15e91652da803158"/>
    <w:p>
      <w:pPr>
        <w:pStyle w:val="Heading3"/>
      </w:pPr>
      <w:r>
        <w:t xml:space="preserve">1. Guidance and the second-half earnings bridge</w:t>
      </w:r>
    </w:p>
    <w:p>
      <w:pPr>
        <w:pStyle w:val="FirstParagraph"/>
      </w:pPr>
      <w:r>
        <w:t xml:space="preserve">The baseline expectation should be an affirmation of the</w:t>
      </w:r>
      <w:r>
        <w:t xml:space="preserve"> </w:t>
      </w:r>
      <m:oMath>
        <m:r>
          <m:t>2.62</m:t>
        </m:r>
        <m:r>
          <m:rPr>
            <m:sty m:val="p"/>
          </m:rPr>
          <m:t>–</m:t>
        </m:r>
      </m:oMath>
      <w:r>
        <w:rPr>
          <w:b/>
          <w:bCs/>
        </w:rPr>
        <w:t xml:space="preserve">2.82</w:t>
      </w:r>
      <w:r>
        <w:t xml:space="preserve"> </w:t>
      </w:r>
      <w:r>
        <w:t xml:space="preserve">core EPS range. A guidance reduction would be a meaningful disappointment given the strong first quarter and management’s confident April commentary.</w:t>
      </w:r>
    </w:p>
    <w:p>
      <w:pPr>
        <w:pStyle w:val="BodyText"/>
      </w:pPr>
      <w:r>
        <w:t xml:space="preserve">Investors should focus on:</w:t>
      </w:r>
    </w:p>
    <w:p>
      <w:pPr>
        <w:pStyle w:val="Compact"/>
        <w:numPr>
          <w:ilvl w:val="0"/>
          <w:numId w:val="1002"/>
        </w:numPr>
      </w:pPr>
      <w:r>
        <w:t xml:space="preserve">Whether management still expects most 2026 growth in the second half;</w:t>
      </w:r>
    </w:p>
    <w:p>
      <w:pPr>
        <w:pStyle w:val="Compact"/>
        <w:numPr>
          <w:ilvl w:val="0"/>
          <w:numId w:val="1002"/>
        </w:numPr>
      </w:pPr>
      <w:r>
        <w:t xml:space="preserve">Transmission rate-base growth and formula-rate revenue;</w:t>
      </w:r>
    </w:p>
    <w:p>
      <w:pPr>
        <w:pStyle w:val="Compact"/>
        <w:numPr>
          <w:ilvl w:val="0"/>
          <w:numId w:val="1002"/>
        </w:numPr>
      </w:pPr>
      <w:r>
        <w:t xml:space="preserve">Distribution rate benefits and customer demand;</w:t>
      </w:r>
    </w:p>
    <w:p>
      <w:pPr>
        <w:pStyle w:val="Compact"/>
        <w:numPr>
          <w:ilvl w:val="0"/>
          <w:numId w:val="1002"/>
        </w:numPr>
      </w:pPr>
      <w:r>
        <w:t xml:space="preserve">O&amp;M savings versus timing-related underspending;</w:t>
      </w:r>
    </w:p>
    <w:p>
      <w:pPr>
        <w:pStyle w:val="Compact"/>
        <w:numPr>
          <w:ilvl w:val="0"/>
          <w:numId w:val="1002"/>
        </w:numPr>
      </w:pPr>
      <w:r>
        <w:t xml:space="preserve">Storm restoration expense;</w:t>
      </w:r>
    </w:p>
    <w:p>
      <w:pPr>
        <w:pStyle w:val="Compact"/>
        <w:numPr>
          <w:ilvl w:val="0"/>
          <w:numId w:val="1002"/>
        </w:numPr>
      </w:pPr>
      <w:r>
        <w:t xml:space="preserve">Interest expense and incremental equity issuance; and</w:t>
      </w:r>
    </w:p>
    <w:p>
      <w:pPr>
        <w:pStyle w:val="Compact"/>
        <w:numPr>
          <w:ilvl w:val="0"/>
          <w:numId w:val="1002"/>
        </w:numPr>
      </w:pPr>
      <w:r>
        <w:t xml:space="preserve">Any change in the expected tax rate.</w:t>
      </w:r>
    </w:p>
    <w:p>
      <w:pPr>
        <w:pStyle w:val="FirstParagraph"/>
      </w:pPr>
      <w:r>
        <w:t xml:space="preserve">A result around the prior-year Q2 core EPS of $0.52 could still be consistent with the annual plan if management preserves the second-half outlook. Conversely, a Q2 beat driven by temporary weather or expense timing would be less valuable than improved rate-base earnings and sustainable cost savings.</w:t>
      </w:r>
    </w:p>
    <w:bookmarkEnd w:id="11"/>
    <w:bookmarkStart w:id="12" w:name="X9ff5fc9cd9f8f81e66d7aab88d035878ed9e695"/>
    <w:p>
      <w:pPr>
        <w:pStyle w:val="Heading3"/>
      </w:pPr>
      <w:r>
        <w:t xml:space="preserve">2. Data-center contracting is the largest potential catalyst</w:t>
      </w:r>
    </w:p>
    <w:p>
      <w:pPr>
        <w:pStyle w:val="FirstParagraph"/>
      </w:pPr>
      <w:r>
        <w:t xml:space="preserve">At the end of Q1, FE showed:</w:t>
      </w:r>
    </w:p>
    <w:p>
      <w:pPr>
        <w:pStyle w:val="Compact"/>
        <w:numPr>
          <w:ilvl w:val="0"/>
          <w:numId w:val="1003"/>
        </w:numPr>
      </w:pPr>
      <w:r>
        <w:rPr>
          <w:b/>
          <w:bCs/>
        </w:rPr>
        <w:t xml:space="preserve">4.3 GW</w:t>
      </w:r>
      <w:r>
        <w:t xml:space="preserve"> </w:t>
      </w:r>
      <w:r>
        <w:t xml:space="preserve">of contracted data-center demand by 2035;</w:t>
      </w:r>
    </w:p>
    <w:p>
      <w:pPr>
        <w:pStyle w:val="Compact"/>
        <w:numPr>
          <w:ilvl w:val="0"/>
          <w:numId w:val="1003"/>
        </w:numPr>
      </w:pPr>
      <w:r>
        <w:t xml:space="preserve">An additional</w:t>
      </w:r>
      <w:r>
        <w:t xml:space="preserve"> </w:t>
      </w:r>
      <w:r>
        <w:rPr>
          <w:b/>
          <w:bCs/>
        </w:rPr>
        <w:t xml:space="preserve">14.9 GW</w:t>
      </w:r>
      <w:r>
        <w:t xml:space="preserve"> </w:t>
      </w:r>
      <w:r>
        <w:t xml:space="preserve">in its identified pipeline;</w:t>
      </w:r>
    </w:p>
    <w:p>
      <w:pPr>
        <w:pStyle w:val="Compact"/>
        <w:numPr>
          <w:ilvl w:val="0"/>
          <w:numId w:val="1003"/>
        </w:numPr>
      </w:pPr>
      <w:r>
        <w:t xml:space="preserve">Total contracted-plus-pipeline demand of</w:t>
      </w:r>
      <w:r>
        <w:t xml:space="preserve"> </w:t>
      </w:r>
      <w:r>
        <w:rPr>
          <w:b/>
          <w:bCs/>
        </w:rPr>
        <w:t xml:space="preserve">19.1 GW</w:t>
      </w:r>
      <w:r>
        <w:t xml:space="preserve">, more than double the level disclosed in early 2025; and</w:t>
      </w:r>
    </w:p>
    <w:p>
      <w:pPr>
        <w:pStyle w:val="Compact"/>
        <w:numPr>
          <w:ilvl w:val="0"/>
          <w:numId w:val="1003"/>
        </w:numPr>
      </w:pPr>
      <w:r>
        <w:t xml:space="preserve">Approximately</w:t>
      </w:r>
      <w:r>
        <w:t xml:space="preserve"> </w:t>
      </w:r>
      <w:r>
        <w:rPr>
          <w:b/>
          <w:bCs/>
        </w:rPr>
        <w:t xml:space="preserve">4 GW</w:t>
      </w:r>
      <w:r>
        <w:t xml:space="preserve"> </w:t>
      </w:r>
      <w:r>
        <w:t xml:space="preserve">in final contract negotiations that management expected to convert during the second quarter.</w:t>
      </w:r>
    </w:p>
    <w:p>
      <w:pPr>
        <w:pStyle w:val="FirstParagraph"/>
      </w:pPr>
      <w:r>
        <w:t xml:space="preserve">That last point creates a clear test for this report. A substantial increase in contracted demand would improve confidence that FE’s data-center opportunity is translating from requests and studies into investable projects.</w:t>
      </w:r>
    </w:p>
    <w:p>
      <w:pPr>
        <w:pStyle w:val="BodyText"/>
      </w:pPr>
      <w:r>
        <w:t xml:space="preserve">Questions for management include:</w:t>
      </w:r>
    </w:p>
    <w:p>
      <w:pPr>
        <w:pStyle w:val="Compact"/>
        <w:numPr>
          <w:ilvl w:val="0"/>
          <w:numId w:val="1004"/>
        </w:numPr>
      </w:pPr>
      <w:r>
        <w:t xml:space="preserve">How much of the approximately 4 GW under negotiation became contracted?</w:t>
      </w:r>
    </w:p>
    <w:p>
      <w:pPr>
        <w:pStyle w:val="Compact"/>
        <w:numPr>
          <w:ilvl w:val="0"/>
          <w:numId w:val="1004"/>
        </w:numPr>
      </w:pPr>
      <w:r>
        <w:t xml:space="preserve">What customer protections—deposits, minimum bills, exit fees or construction commitments—support those contracts?</w:t>
      </w:r>
    </w:p>
    <w:p>
      <w:pPr>
        <w:pStyle w:val="Compact"/>
        <w:numPr>
          <w:ilvl w:val="0"/>
          <w:numId w:val="1004"/>
        </w:numPr>
      </w:pPr>
      <w:r>
        <w:t xml:space="preserve">How much incremental distribution, transmission and generation capital is required?</w:t>
      </w:r>
    </w:p>
    <w:p>
      <w:pPr>
        <w:pStyle w:val="Compact"/>
        <w:numPr>
          <w:ilvl w:val="0"/>
          <w:numId w:val="1004"/>
        </w:numPr>
      </w:pPr>
      <w:r>
        <w:t xml:space="preserve">When would that capital enter rate base?</w:t>
      </w:r>
    </w:p>
    <w:p>
      <w:pPr>
        <w:pStyle w:val="Compact"/>
        <w:numPr>
          <w:ilvl w:val="0"/>
          <w:numId w:val="1004"/>
        </w:numPr>
      </w:pPr>
      <w:r>
        <w:t xml:space="preserve">Are data-center customers bearing the full incremental cost rather than shifting it to existing customers?</w:t>
      </w:r>
    </w:p>
    <w:p>
      <w:pPr>
        <w:pStyle w:val="FirstParagraph"/>
      </w:pPr>
      <w:r>
        <w:t xml:space="preserve">The market should assign much more value to contracted projects with strong customer protections than to conceptual load studies.</w:t>
      </w:r>
    </w:p>
    <w:bookmarkEnd w:id="12"/>
    <w:bookmarkStart w:id="13" w:name="Xbe4bc88366d084a87f57434f0c1c5dd79d63863"/>
    <w:p>
      <w:pPr>
        <w:pStyle w:val="Heading3"/>
      </w:pPr>
      <w:r>
        <w:t xml:space="preserve">3. West Virginia generation could reshape the capital plan</w:t>
      </w:r>
    </w:p>
    <w:p>
      <w:pPr>
        <w:pStyle w:val="FirstParagraph"/>
      </w:pPr>
      <w:r>
        <w:t xml:space="preserve">FE is pursuing a</w:t>
      </w:r>
      <w:r>
        <w:t xml:space="preserve"> </w:t>
      </w:r>
      <w:r>
        <w:rPr>
          <w:b/>
          <w:bCs/>
        </w:rPr>
        <w:t xml:space="preserve">1.2 GW combined-cycle natural gas plant and 70 MW of solar generation</w:t>
      </w:r>
      <w:r>
        <w:t xml:space="preserve"> </w:t>
      </w:r>
      <w:r>
        <w:t xml:space="preserve">in West Virginia, with an estimated total investment of roughly</w:t>
      </w:r>
      <w:r>
        <w:t xml:space="preserve"> </w:t>
      </w:r>
      <w:r>
        <w:rPr>
          <w:b/>
          <w:bCs/>
        </w:rPr>
        <w:t xml:space="preserve">$2.7 billion</w:t>
      </w:r>
      <w:r>
        <w:t xml:space="preserve">. Regulatory hearings were scheduled for July 16–17, and management previously expected a decision during the second half of 2026, potentially early in the fourth quarter.</w:t>
      </w:r>
    </w:p>
    <w:p>
      <w:pPr>
        <w:pStyle w:val="BodyText"/>
      </w:pPr>
      <w:r>
        <w:t xml:space="preserve">Management has said approval could increase company-wide rate-base growth from just over 10% to just over 11%. It would therefore represent the most visible source of upside beyond the current $36 billion plan.</w:t>
      </w:r>
    </w:p>
    <w:p>
      <w:pPr>
        <w:pStyle w:val="BodyText"/>
      </w:pPr>
      <w:r>
        <w:t xml:space="preserve">Investors need an update on:</w:t>
      </w:r>
    </w:p>
    <w:p>
      <w:pPr>
        <w:pStyle w:val="Compact"/>
        <w:numPr>
          <w:ilvl w:val="0"/>
          <w:numId w:val="1005"/>
        </w:numPr>
      </w:pPr>
      <w:r>
        <w:t xml:space="preserve">The outcome and tone of the July hearings;</w:t>
      </w:r>
    </w:p>
    <w:p>
      <w:pPr>
        <w:pStyle w:val="Compact"/>
        <w:numPr>
          <w:ilvl w:val="0"/>
          <w:numId w:val="1005"/>
        </w:numPr>
      </w:pPr>
      <w:r>
        <w:t xml:space="preserve">The expected regulatory decision date;</w:t>
      </w:r>
    </w:p>
    <w:p>
      <w:pPr>
        <w:pStyle w:val="Compact"/>
        <w:numPr>
          <w:ilvl w:val="0"/>
          <w:numId w:val="1005"/>
        </w:numPr>
      </w:pPr>
      <w:r>
        <w:t xml:space="preserve">Equipment, EPC and gas-supply contracting;</w:t>
      </w:r>
    </w:p>
    <w:p>
      <w:pPr>
        <w:pStyle w:val="Compact"/>
        <w:numPr>
          <w:ilvl w:val="0"/>
          <w:numId w:val="1005"/>
        </w:numPr>
      </w:pPr>
      <w:r>
        <w:t xml:space="preserve">Whether the project remains within its filed cost estimate;</w:t>
      </w:r>
    </w:p>
    <w:p>
      <w:pPr>
        <w:pStyle w:val="Compact"/>
        <w:numPr>
          <w:ilvl w:val="0"/>
          <w:numId w:val="1005"/>
        </w:numPr>
      </w:pPr>
      <w:r>
        <w:t xml:space="preserve">Recovery of financing costs during construction;</w:t>
      </w:r>
    </w:p>
    <w:p>
      <w:pPr>
        <w:pStyle w:val="Compact"/>
        <w:numPr>
          <w:ilvl w:val="0"/>
          <w:numId w:val="1005"/>
        </w:numPr>
      </w:pPr>
      <w:r>
        <w:t xml:space="preserve">The plant’s expected 2031 in-service date; and</w:t>
      </w:r>
    </w:p>
    <w:p>
      <w:pPr>
        <w:pStyle w:val="Compact"/>
        <w:numPr>
          <w:ilvl w:val="0"/>
          <w:numId w:val="1005"/>
        </w:numPr>
      </w:pPr>
      <w:r>
        <w:t xml:space="preserve">The financing mix.</w:t>
      </w:r>
    </w:p>
    <w:p>
      <w:pPr>
        <w:pStyle w:val="FirstParagraph"/>
      </w:pPr>
      <w:r>
        <w:t xml:space="preserve">FE previously indicated that new equity could fund up to roughly</w:t>
      </w:r>
      <w:r>
        <w:t xml:space="preserve"> </w:t>
      </w:r>
      <w:r>
        <w:rPr>
          <w:b/>
          <w:bCs/>
        </w:rPr>
        <w:t xml:space="preserve">35%</w:t>
      </w:r>
      <w:r>
        <w:t xml:space="preserve"> </w:t>
      </w:r>
      <w:r>
        <w:t xml:space="preserve">of the generation investment, depending partly on the treatment of construction financing costs. The project may be earnings-accretive over time, but the amount and timing of equity will determine the per-share benefit.</w:t>
      </w:r>
    </w:p>
    <w:bookmarkEnd w:id="13"/>
    <w:bookmarkStart w:id="14" w:name="X991f9a18fda148f90b5e696abbe6def779771bc"/>
    <w:p>
      <w:pPr>
        <w:pStyle w:val="Heading3"/>
      </w:pPr>
      <w:r>
        <w:t xml:space="preserve">4. Capital execution and transmission growth</w:t>
      </w:r>
    </w:p>
    <w:p>
      <w:pPr>
        <w:pStyle w:val="FirstParagraph"/>
      </w:pPr>
      <w:r>
        <w:t xml:space="preserve">The core investment case remains FE’s regulated wires program rather than speculative load growth. In Q1:</w:t>
      </w:r>
    </w:p>
    <w:p>
      <w:pPr>
        <w:pStyle w:val="Compact"/>
        <w:numPr>
          <w:ilvl w:val="0"/>
          <w:numId w:val="1006"/>
        </w:numPr>
      </w:pPr>
      <w:r>
        <w:t xml:space="preserve">Total capital deployment increased 33% to $1.4 billion;</w:t>
      </w:r>
    </w:p>
    <w:p>
      <w:pPr>
        <w:pStyle w:val="Compact"/>
        <w:numPr>
          <w:ilvl w:val="0"/>
          <w:numId w:val="1006"/>
        </w:numPr>
      </w:pPr>
      <w:r>
        <w:t xml:space="preserve">Approximately 90% of the increase was in formula-rate programs;</w:t>
      </w:r>
    </w:p>
    <w:p>
      <w:pPr>
        <w:pStyle w:val="Compact"/>
        <w:numPr>
          <w:ilvl w:val="0"/>
          <w:numId w:val="1006"/>
        </w:numPr>
      </w:pPr>
      <w:r>
        <w:t xml:space="preserve">Total transmission rate base grew 13%;</w:t>
      </w:r>
    </w:p>
    <w:p>
      <w:pPr>
        <w:pStyle w:val="Compact"/>
        <w:numPr>
          <w:ilvl w:val="0"/>
          <w:numId w:val="1006"/>
        </w:numPr>
      </w:pPr>
      <w:r>
        <w:t xml:space="preserve">Integrated-segment transmission rate base grew 19%; and</w:t>
      </w:r>
    </w:p>
    <w:p>
      <w:pPr>
        <w:pStyle w:val="Compact"/>
        <w:numPr>
          <w:ilvl w:val="0"/>
          <w:numId w:val="1006"/>
        </w:numPr>
      </w:pPr>
      <w:r>
        <w:t xml:space="preserve">Stand-alone transmission rate base grew 11%.</w:t>
      </w:r>
    </w:p>
    <w:p>
      <w:pPr>
        <w:pStyle w:val="FirstParagraph"/>
      </w:pPr>
      <w:r>
        <w:t xml:space="preserve">FE needs to demonstrate that its</w:t>
      </w:r>
      <w:r>
        <w:t xml:space="preserve"> </w:t>
      </w:r>
      <w:r>
        <w:rPr>
          <w:b/>
          <w:bCs/>
        </w:rPr>
        <w:t xml:space="preserve">$6 billion 2026 capital program</w:t>
      </w:r>
      <w:r>
        <w:t xml:space="preserve"> </w:t>
      </w:r>
      <w:r>
        <w:t xml:space="preserve">remains on schedule despite equipment lead times, tariffs, labor constraints and industry-wide demand for transmission components.</w:t>
      </w:r>
    </w:p>
    <w:p>
      <w:pPr>
        <w:pStyle w:val="BodyText"/>
      </w:pPr>
      <w:r>
        <w:t xml:space="preserve">A particularly favorable result would include continued double-digit transmission rate-base growth without material capital-cost inflation or delays. Management may also discuss additional PJM Open Window opportunities. FE has been awarded more than $5 billion of competitive transmission projects over the past several years, although its existing-system replacement needs remain the larger and more dependable opportunity.</w:t>
      </w:r>
    </w:p>
    <w:bookmarkEnd w:id="14"/>
    <w:bookmarkStart w:id="15" w:name="X0da2528c1a05e895d6a4e20b66bf9379450f904"/>
    <w:p>
      <w:pPr>
        <w:pStyle w:val="Heading3"/>
      </w:pPr>
      <w:r>
        <w:t xml:space="preserve">5. Cost control: structural savings or quarterly timing?</w:t>
      </w:r>
    </w:p>
    <w:p>
      <w:pPr>
        <w:pStyle w:val="FirstParagraph"/>
      </w:pPr>
      <w:r>
        <w:t xml:space="preserve">Base O&amp;M was down approximately 5% in Q1. Management characterized much of the improvement as sustainable, reflecting automation, data-driven maintenance, organizational simplification and movement of resources closer to individual business units.</w:t>
      </w:r>
    </w:p>
    <w:p>
      <w:pPr>
        <w:pStyle w:val="BodyText"/>
      </w:pPr>
      <w:r>
        <w:t xml:space="preserve">The Q2 report should help establish whether those savings are durable. Investors should separate:</w:t>
      </w:r>
    </w:p>
    <w:p>
      <w:pPr>
        <w:pStyle w:val="Compact"/>
        <w:numPr>
          <w:ilvl w:val="0"/>
          <w:numId w:val="1007"/>
        </w:numPr>
      </w:pPr>
      <w:r>
        <w:t xml:space="preserve">Permanent productivity improvements;</w:t>
      </w:r>
    </w:p>
    <w:p>
      <w:pPr>
        <w:pStyle w:val="Compact"/>
        <w:numPr>
          <w:ilvl w:val="0"/>
          <w:numId w:val="1007"/>
        </w:numPr>
      </w:pPr>
      <w:r>
        <w:t xml:space="preserve">Maintenance shifted between quarters;</w:t>
      </w:r>
    </w:p>
    <w:p>
      <w:pPr>
        <w:pStyle w:val="Compact"/>
        <w:numPr>
          <w:ilvl w:val="0"/>
          <w:numId w:val="1007"/>
        </w:numPr>
      </w:pPr>
      <w:r>
        <w:t xml:space="preserve">Capitalized labor or construction support;</w:t>
      </w:r>
    </w:p>
    <w:p>
      <w:pPr>
        <w:pStyle w:val="Compact"/>
        <w:numPr>
          <w:ilvl w:val="0"/>
          <w:numId w:val="1007"/>
        </w:numPr>
      </w:pPr>
      <w:r>
        <w:t xml:space="preserve">Lower vegetation-management spending following accelerated 2025 work; and</w:t>
      </w:r>
    </w:p>
    <w:p>
      <w:pPr>
        <w:pStyle w:val="Compact"/>
        <w:numPr>
          <w:ilvl w:val="0"/>
          <w:numId w:val="1007"/>
        </w:numPr>
      </w:pPr>
      <w:r>
        <w:t xml:space="preserve">Storm-related costs that are deferred rather than expensed.</w:t>
      </w:r>
    </w:p>
    <w:p>
      <w:pPr>
        <w:pStyle w:val="FirstParagraph"/>
      </w:pPr>
      <w:r>
        <w:t xml:space="preserve">Sustainable O&amp;M discipline is especially important because it supports earnings while helping FE make its large investment plan more acceptable to regulators and customers.</w:t>
      </w:r>
    </w:p>
    <w:bookmarkEnd w:id="15"/>
    <w:bookmarkStart w:id="16" w:name="X7fdfbfa5f18f8b85ff594421aa6c52f0f9b846c"/>
    <w:p>
      <w:pPr>
        <w:pStyle w:val="Heading3"/>
      </w:pPr>
      <w:r>
        <w:t xml:space="preserve">6. Regulatory execution and affordability</w:t>
      </w:r>
    </w:p>
    <w:p>
      <w:pPr>
        <w:pStyle w:val="FirstParagraph"/>
      </w:pPr>
      <w:r>
        <w:t xml:space="preserve">FE operates across several jurisdictions, making regulatory execution a central part of the equity story.</w:t>
      </w:r>
    </w:p>
    <w:p>
      <w:pPr>
        <w:pStyle w:val="BodyText"/>
      </w:pPr>
      <w:r>
        <w:t xml:space="preserve">Items to monitor include:</w:t>
      </w:r>
    </w:p>
    <w:p>
      <w:pPr>
        <w:pStyle w:val="Compact"/>
        <w:numPr>
          <w:ilvl w:val="0"/>
          <w:numId w:val="1008"/>
        </w:numPr>
      </w:pPr>
      <w:r>
        <w:rPr>
          <w:b/>
          <w:bCs/>
        </w:rPr>
        <w:t xml:space="preserve">Ohio:</w:t>
      </w:r>
      <w:r>
        <w:t xml:space="preserve"> </w:t>
      </w:r>
      <w:r>
        <w:t xml:space="preserve">Progress on the proposed three-year rate plan, which contemplated approximately $800 million of annual investment and average residential bill increases below 3% per year.</w:t>
      </w:r>
    </w:p>
    <w:p>
      <w:pPr>
        <w:pStyle w:val="Compact"/>
        <w:numPr>
          <w:ilvl w:val="0"/>
          <w:numId w:val="1008"/>
        </w:numPr>
      </w:pPr>
      <w:r>
        <w:rPr>
          <w:b/>
          <w:bCs/>
        </w:rPr>
        <w:t xml:space="preserve">West Virginia:</w:t>
      </w:r>
      <w:r>
        <w:t xml:space="preserve"> </w:t>
      </w:r>
      <w:r>
        <w:t xml:space="preserve">Status of the planned distribution base-rate case in addition to the generation proceeding.</w:t>
      </w:r>
    </w:p>
    <w:p>
      <w:pPr>
        <w:pStyle w:val="Compact"/>
        <w:numPr>
          <w:ilvl w:val="0"/>
          <w:numId w:val="1008"/>
        </w:numPr>
      </w:pPr>
      <w:r>
        <w:rPr>
          <w:b/>
          <w:bCs/>
        </w:rPr>
        <w:t xml:space="preserve">Maryland:</w:t>
      </w:r>
      <w:r>
        <w:t xml:space="preserve"> </w:t>
      </w:r>
      <w:r>
        <w:t xml:space="preserve">Timing and design of the base-rate case expected during the second half.</w:t>
      </w:r>
    </w:p>
    <w:p>
      <w:pPr>
        <w:pStyle w:val="Compact"/>
        <w:numPr>
          <w:ilvl w:val="0"/>
          <w:numId w:val="1008"/>
        </w:numPr>
      </w:pPr>
      <w:r>
        <w:rPr>
          <w:b/>
          <w:bCs/>
        </w:rPr>
        <w:t xml:space="preserve">Pennsylvania:</w:t>
      </w:r>
      <w:r>
        <w:t xml:space="preserve"> </w:t>
      </w:r>
      <w:r>
        <w:t xml:space="preserve">Default-service proceedings and management’s approach to affordability amid high PJM capacity costs.</w:t>
      </w:r>
    </w:p>
    <w:p>
      <w:pPr>
        <w:pStyle w:val="Compact"/>
        <w:numPr>
          <w:ilvl w:val="0"/>
          <w:numId w:val="1008"/>
        </w:numPr>
      </w:pPr>
      <w:r>
        <w:rPr>
          <w:b/>
          <w:bCs/>
        </w:rPr>
        <w:t xml:space="preserve">New Jersey:</w:t>
      </w:r>
      <w:r>
        <w:t xml:space="preserve"> </w:t>
      </w:r>
      <w:r>
        <w:t xml:space="preserve">Resolution of a potential</w:t>
      </w:r>
      <w:r>
        <w:t xml:space="preserve"> </w:t>
      </w:r>
      <w:r>
        <w:rPr>
          <w:b/>
          <w:bCs/>
        </w:rPr>
        <w:t xml:space="preserve">$44 million reliability penalty</w:t>
      </w:r>
      <w:r>
        <w:t xml:space="preserve"> </w:t>
      </w:r>
      <w:r>
        <w:t xml:space="preserve">and the treatment of terminated offshore-wind transmission work.</w:t>
      </w:r>
    </w:p>
    <w:p>
      <w:pPr>
        <w:pStyle w:val="Compact"/>
        <w:numPr>
          <w:ilvl w:val="0"/>
          <w:numId w:val="1008"/>
        </w:numPr>
      </w:pPr>
      <w:r>
        <w:rPr>
          <w:b/>
          <w:bCs/>
        </w:rPr>
        <w:t xml:space="preserve">FERC/PJM:</w:t>
      </w:r>
      <w:r>
        <w:t xml:space="preserve"> </w:t>
      </w:r>
      <w:r>
        <w:t xml:space="preserve">Rules governing large-load interconnections, who funds network upgrades, and whether transmission owners can put those investments into rate base.</w:t>
      </w:r>
    </w:p>
    <w:p>
      <w:pPr>
        <w:pStyle w:val="FirstParagraph"/>
      </w:pPr>
      <w:r>
        <w:t xml:space="preserve">FE’s average customer rates have remained below many in-state peers, giving management some room to invest. However, sharply higher PJM capacity costs and political concern about data-center demand make bill impacts increasingly important.</w:t>
      </w:r>
    </w:p>
    <w:bookmarkEnd w:id="16"/>
    <w:bookmarkStart w:id="17" w:name="X2e6c43fb5031cc84bd21e25e958180ed55684fa"/>
    <w:p>
      <w:pPr>
        <w:pStyle w:val="Heading3"/>
      </w:pPr>
      <w:r>
        <w:t xml:space="preserve">7. Cash flow, debt and equity funding</w:t>
      </w:r>
    </w:p>
    <w:p>
      <w:pPr>
        <w:pStyle w:val="FirstParagraph"/>
      </w:pPr>
      <w:r>
        <w:t xml:space="preserve">The $36 billion capital program requires substantial external financing. At the end of Q1, FE had:</w:t>
      </w:r>
    </w:p>
    <w:p>
      <w:pPr>
        <w:pStyle w:val="Compact"/>
        <w:numPr>
          <w:ilvl w:val="0"/>
          <w:numId w:val="1009"/>
        </w:numPr>
      </w:pPr>
      <w:r>
        <w:t xml:space="preserve">Approximately</w:t>
      </w:r>
      <w:r>
        <w:t xml:space="preserve"> </w:t>
      </w:r>
      <w:r>
        <w:rPr>
          <w:b/>
          <w:bCs/>
        </w:rPr>
        <w:t xml:space="preserve">$4.4 billion</w:t>
      </w:r>
      <w:r>
        <w:t xml:space="preserve"> </w:t>
      </w:r>
      <w:r>
        <w:t xml:space="preserve">of available liquidity;</w:t>
      </w:r>
    </w:p>
    <w:p>
      <w:pPr>
        <w:pStyle w:val="Compact"/>
        <w:numPr>
          <w:ilvl w:val="0"/>
          <w:numId w:val="1009"/>
        </w:numPr>
      </w:pPr>
      <w:r>
        <w:rPr>
          <w:b/>
          <w:bCs/>
        </w:rPr>
        <w:t xml:space="preserve">$1.3 billion</w:t>
      </w:r>
      <w:r>
        <w:t xml:space="preserve"> </w:t>
      </w:r>
      <w:r>
        <w:t xml:space="preserve">of short-term borrowings;</w:t>
      </w:r>
    </w:p>
    <w:p>
      <w:pPr>
        <w:pStyle w:val="Compact"/>
        <w:numPr>
          <w:ilvl w:val="0"/>
          <w:numId w:val="1009"/>
        </w:numPr>
      </w:pPr>
      <w:r>
        <w:t xml:space="preserve">Plans for another</w:t>
      </w:r>
      <w:r>
        <w:t xml:space="preserve"> </w:t>
      </w:r>
      <w:r>
        <w:rPr>
          <w:b/>
          <w:bCs/>
        </w:rPr>
        <w:t xml:space="preserve">$1.7 billion</w:t>
      </w:r>
      <w:r>
        <w:t xml:space="preserve"> </w:t>
      </w:r>
      <w:r>
        <w:t xml:space="preserve">of subsidiary debt financing during 2026; and</w:t>
      </w:r>
    </w:p>
    <w:p>
      <w:pPr>
        <w:pStyle w:val="Compact"/>
        <w:numPr>
          <w:ilvl w:val="0"/>
          <w:numId w:val="1009"/>
        </w:numPr>
      </w:pPr>
      <w:r>
        <w:t xml:space="preserve">A modest amount of common-equity issuance.</w:t>
      </w:r>
    </w:p>
    <w:p>
      <w:pPr>
        <w:pStyle w:val="FirstParagraph"/>
      </w:pPr>
      <w:r>
        <w:t xml:space="preserve">First-quarter operating cash flow fell to $148 million from $637 million, reflecting Ohio customer refunds, storms, purchased-power costs and working-capital timing. Many of those pressures were temporary or recoverable, but investors should look for normalization in Q2.</w:t>
      </w:r>
    </w:p>
    <w:p>
      <w:pPr>
        <w:pStyle w:val="BodyText"/>
      </w:pPr>
      <w:r>
        <w:t xml:space="preserve">Key balance-sheet questions are:</w:t>
      </w:r>
    </w:p>
    <w:p>
      <w:pPr>
        <w:pStyle w:val="Compact"/>
        <w:numPr>
          <w:ilvl w:val="0"/>
          <w:numId w:val="1010"/>
        </w:numPr>
      </w:pPr>
      <w:r>
        <w:t xml:space="preserve">Has short-term borrowing declined?</w:t>
      </w:r>
    </w:p>
    <w:p>
      <w:pPr>
        <w:pStyle w:val="Compact"/>
        <w:numPr>
          <w:ilvl w:val="0"/>
          <w:numId w:val="1010"/>
        </w:numPr>
      </w:pPr>
      <w:r>
        <w:t xml:space="preserve">Is the 2026 financing plan unchanged?</w:t>
      </w:r>
    </w:p>
    <w:p>
      <w:pPr>
        <w:pStyle w:val="Compact"/>
        <w:numPr>
          <w:ilvl w:val="0"/>
          <w:numId w:val="1010"/>
        </w:numPr>
      </w:pPr>
      <w:r>
        <w:t xml:space="preserve">Is annual common-equity issuance still expected to approximate 1% of market capitalization?</w:t>
      </w:r>
    </w:p>
    <w:p>
      <w:pPr>
        <w:pStyle w:val="Compact"/>
        <w:numPr>
          <w:ilvl w:val="0"/>
          <w:numId w:val="1010"/>
        </w:numPr>
      </w:pPr>
      <w:r>
        <w:t xml:space="preserve">Could incremental generation or data-center capital require materially more equity?</w:t>
      </w:r>
    </w:p>
    <w:p>
      <w:pPr>
        <w:pStyle w:val="Compact"/>
        <w:numPr>
          <w:ilvl w:val="0"/>
          <w:numId w:val="1010"/>
        </w:numPr>
      </w:pPr>
      <w:r>
        <w:t xml:space="preserve">Is the company still on track toward its targeted</w:t>
      </w:r>
      <w:r>
        <w:t xml:space="preserve"> </w:t>
      </w:r>
      <w:r>
        <w:rPr>
          <w:b/>
          <w:bCs/>
        </w:rPr>
        <w:t xml:space="preserve">BBB/Baa2</w:t>
      </w:r>
      <w:r>
        <w:t xml:space="preserve"> </w:t>
      </w:r>
      <w:r>
        <w:t xml:space="preserve">credit profile and roughly</w:t>
      </w:r>
      <w:r>
        <w:t xml:space="preserve"> </w:t>
      </w:r>
      <w:r>
        <w:rPr>
          <w:b/>
          <w:bCs/>
        </w:rPr>
        <w:t xml:space="preserve">14% FFO-to-debt</w:t>
      </w:r>
      <w:r>
        <w:t xml:space="preserve">?</w:t>
      </w:r>
    </w:p>
    <w:bookmarkEnd w:id="17"/>
    <w:bookmarkEnd w:id="18"/>
    <w:bookmarkStart w:id="24" w:name="risks-that-could-overshadow-an-eps-beat"/>
    <w:p>
      <w:pPr>
        <w:pStyle w:val="Heading2"/>
      </w:pPr>
      <w:r>
        <w:t xml:space="preserve">Risks that could overshadow an EPS beat</w:t>
      </w:r>
    </w:p>
    <w:bookmarkStart w:id="19" w:name="storm-and-regulatory-asset-accumulation"/>
    <w:p>
      <w:pPr>
        <w:pStyle w:val="Heading3"/>
      </w:pPr>
      <w:r>
        <w:t xml:space="preserve">Storm and regulatory-asset accumulation</w:t>
      </w:r>
    </w:p>
    <w:p>
      <w:pPr>
        <w:pStyle w:val="FirstParagraph"/>
      </w:pPr>
      <w:r>
        <w:t xml:space="preserve">FE ended Q1 with approximately</w:t>
      </w:r>
      <w:r>
        <w:t xml:space="preserve"> </w:t>
      </w:r>
      <w:r>
        <w:rPr>
          <w:b/>
          <w:bCs/>
        </w:rPr>
        <w:t xml:space="preserve">$1.27 billion of storm-related regulatory assets</w:t>
      </w:r>
      <w:r>
        <w:t xml:space="preserve">, including a substantial amount that was not earning a current return. Storm deferrals protect near-term earnings but can pressure cash flow and increase future customer bills.</w:t>
      </w:r>
    </w:p>
    <w:bookmarkEnd w:id="19"/>
    <w:bookmarkStart w:id="20" w:name="new-jersey-reliability-exposure"/>
    <w:p>
      <w:pPr>
        <w:pStyle w:val="Heading3"/>
      </w:pPr>
      <w:r>
        <w:t xml:space="preserve">New Jersey reliability exposure</w:t>
      </w:r>
    </w:p>
    <w:p>
      <w:pPr>
        <w:pStyle w:val="FirstParagraph"/>
      </w:pPr>
      <w:r>
        <w:t xml:space="preserve">JCP&amp;L was discussing a potential $44 million penalty related to historical reliability performance. The amount is manageable relative to the enterprise, but the matter could affect regulatory relations and the timing of future rate relief.</w:t>
      </w:r>
    </w:p>
    <w:bookmarkEnd w:id="20"/>
    <w:bookmarkStart w:id="21" w:name="financing-costs-and-dilution"/>
    <w:p>
      <w:pPr>
        <w:pStyle w:val="Heading3"/>
      </w:pPr>
      <w:r>
        <w:t xml:space="preserve">Financing costs and dilution</w:t>
      </w:r>
    </w:p>
    <w:p>
      <w:pPr>
        <w:pStyle w:val="FirstParagraph"/>
      </w:pPr>
      <w:r>
        <w:t xml:space="preserve">Higher interest expense partially offset regulated growth in Q1. FE’s capital plan can still support EPS growth, but rising debt costs or greater-than-planned equity issuance would weaken the conversion of rate-base growth into per-share earnings.</w:t>
      </w:r>
    </w:p>
    <w:bookmarkEnd w:id="21"/>
    <w:bookmarkStart w:id="22" w:name="legacy-legal-costs"/>
    <w:p>
      <w:pPr>
        <w:pStyle w:val="Heading3"/>
      </w:pPr>
      <w:r>
        <w:t xml:space="preserve">Legacy legal costs</w:t>
      </w:r>
    </w:p>
    <w:p>
      <w:pPr>
        <w:pStyle w:val="FirstParagraph"/>
      </w:pPr>
      <w:r>
        <w:t xml:space="preserve">Investigation and litigation expenses remained a special item in Q1, reducing GAAP results by approximately $0.04 per share relative to core EPS. Legal matters connected to legacy Ohio conduct remain unresolved, so the difference between GAAP and core earnings remains relevant.</w:t>
      </w:r>
    </w:p>
    <w:bookmarkEnd w:id="22"/>
    <w:bookmarkStart w:id="23" w:name="affordability-backlash"/>
    <w:p>
      <w:pPr>
        <w:pStyle w:val="Heading3"/>
      </w:pPr>
      <w:r>
        <w:t xml:space="preserve">Affordability backlash</w:t>
      </w:r>
    </w:p>
    <w:p>
      <w:pPr>
        <w:pStyle w:val="FirstParagraph"/>
      </w:pPr>
      <w:r>
        <w:t xml:space="preserve">Data centers improve load growth and create investment opportunities, but they also intensify concerns about generation adequacy and customer bills. The bullish case depends on FE demonstrating that large-load customers pay their full incremental costs.</w:t>
      </w:r>
    </w:p>
    <w:bookmarkEnd w:id="23"/>
    <w:bookmarkEnd w:id="24"/>
    <w:bookmarkStart w:id="25" w:name="stock-setup"/>
    <w:p>
      <w:pPr>
        <w:pStyle w:val="Heading2"/>
      </w:pPr>
      <w:r>
        <w:t xml:space="preserve">Stock setup</w:t>
      </w:r>
    </w:p>
    <w:p>
      <w:pPr>
        <w:pStyle w:val="FirstParagraph"/>
      </w:pPr>
      <w:r>
        <w:t xml:space="preserve">Through the July 27 close, FE had gained approximately</w:t>
      </w:r>
      <w:r>
        <w:t xml:space="preserve"> </w:t>
      </w:r>
      <w:r>
        <w:rPr>
          <w:b/>
          <w:bCs/>
        </w:rPr>
        <w:t xml:space="preserve">10% year to date</w:t>
      </w:r>
      <w:r>
        <w:t xml:space="preserve">, versus about</w:t>
      </w:r>
      <w:r>
        <w:t xml:space="preserve"> </w:t>
      </w:r>
      <w:r>
        <w:rPr>
          <w:b/>
          <w:bCs/>
        </w:rPr>
        <w:t xml:space="preserve">7%</w:t>
      </w:r>
      <w:r>
        <w:t xml:space="preserve"> </w:t>
      </w:r>
      <w:r>
        <w:t xml:space="preserve">for the Utilities Select Sector SPDR Fund. Since the Q1 release, however, FE was roughly flat and only modestly ahead of the utility sector.</w:t>
      </w:r>
    </w:p>
    <w:p>
      <w:pPr>
        <w:pStyle w:val="BodyText"/>
      </w:pPr>
      <w:r>
        <w:t xml:space="preserve">That suggests expectations are constructive but not obviously euphoric. A routine EPS beat with unchanged guidance may produce a limited reaction. The larger stock-moving variables are likely to be:</w:t>
      </w:r>
    </w:p>
    <w:p>
      <w:pPr>
        <w:pStyle w:val="Compact"/>
        <w:numPr>
          <w:ilvl w:val="0"/>
          <w:numId w:val="1011"/>
        </w:numPr>
      </w:pPr>
      <w:r>
        <w:t xml:space="preserve">Data-center contract conversion;</w:t>
      </w:r>
    </w:p>
    <w:p>
      <w:pPr>
        <w:pStyle w:val="Compact"/>
        <w:numPr>
          <w:ilvl w:val="0"/>
          <w:numId w:val="1011"/>
        </w:numPr>
      </w:pPr>
      <w:r>
        <w:t xml:space="preserve">West Virginia generation approval and financing;</w:t>
      </w:r>
    </w:p>
    <w:p>
      <w:pPr>
        <w:pStyle w:val="Compact"/>
        <w:numPr>
          <w:ilvl w:val="0"/>
          <w:numId w:val="1011"/>
        </w:numPr>
      </w:pPr>
      <w:r>
        <w:t xml:space="preserve">Any expansion of the capital plan;</w:t>
      </w:r>
    </w:p>
    <w:p>
      <w:pPr>
        <w:pStyle w:val="Compact"/>
        <w:numPr>
          <w:ilvl w:val="0"/>
          <w:numId w:val="1011"/>
        </w:numPr>
      </w:pPr>
      <w:r>
        <w:t xml:space="preserve">Confidence in the second-half earnings ramp; and</w:t>
      </w:r>
    </w:p>
    <w:p>
      <w:pPr>
        <w:pStyle w:val="Compact"/>
        <w:numPr>
          <w:ilvl w:val="0"/>
          <w:numId w:val="1011"/>
        </w:numPr>
      </w:pPr>
      <w:r>
        <w:t xml:space="preserve">Regulatory developments affecting transmission returns.</w: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12"/>
        </w:numPr>
      </w:pPr>
      <w:r>
        <w:t xml:space="preserve">Core EPS is comfortably above the prior-year $0.52;</w:t>
      </w:r>
    </w:p>
    <w:p>
      <w:pPr>
        <w:pStyle w:val="Compact"/>
        <w:numPr>
          <w:ilvl w:val="0"/>
          <w:numId w:val="1012"/>
        </w:numPr>
      </w:pPr>
      <w:r>
        <w:t xml:space="preserve">Full-year guidance is raised or management targets the upper half;</w:t>
      </w:r>
    </w:p>
    <w:p>
      <w:pPr>
        <w:pStyle w:val="Compact"/>
        <w:numPr>
          <w:ilvl w:val="0"/>
          <w:numId w:val="1012"/>
        </w:numPr>
      </w:pPr>
      <w:r>
        <w:t xml:space="preserve">A large portion of the 4 GW under negotiation has become contracted;</w:t>
      </w:r>
    </w:p>
    <w:p>
      <w:pPr>
        <w:pStyle w:val="Compact"/>
        <w:numPr>
          <w:ilvl w:val="0"/>
          <w:numId w:val="1012"/>
        </w:numPr>
      </w:pPr>
      <w:r>
        <w:t xml:space="preserve">West Virginia hearings support timely approval;</w:t>
      </w:r>
    </w:p>
    <w:p>
      <w:pPr>
        <w:pStyle w:val="Compact"/>
        <w:numPr>
          <w:ilvl w:val="0"/>
          <w:numId w:val="1012"/>
        </w:numPr>
      </w:pPr>
      <w:r>
        <w:t xml:space="preserve">Capital remains on budget and O&amp;M savings persist; and</w:t>
      </w:r>
    </w:p>
    <w:p>
      <w:pPr>
        <w:pStyle w:val="Compact"/>
        <w:numPr>
          <w:ilvl w:val="0"/>
          <w:numId w:val="1012"/>
        </w:numPr>
      </w:pPr>
      <w:r>
        <w:t xml:space="preserve">Incremental investment opportunities are presented without materially higher equity needs.</w:t>
      </w:r>
    </w:p>
    <w:bookmarkEnd w:id="26"/>
    <w:bookmarkStart w:id="27" w:name="base-case"/>
    <w:p>
      <w:pPr>
        <w:pStyle w:val="Heading3"/>
      </w:pPr>
      <w:r>
        <w:t xml:space="preserve">Base case</w:t>
      </w:r>
    </w:p>
    <w:p>
      <w:pPr>
        <w:pStyle w:val="Compact"/>
        <w:numPr>
          <w:ilvl w:val="0"/>
          <w:numId w:val="1013"/>
        </w:numPr>
      </w:pPr>
      <w:r>
        <w:t xml:space="preserve">Modest year-over-year core EPS growth;</w:t>
      </w:r>
    </w:p>
    <w:p>
      <w:pPr>
        <w:pStyle w:val="Compact"/>
        <w:numPr>
          <w:ilvl w:val="0"/>
          <w:numId w:val="1013"/>
        </w:numPr>
      </w:pPr>
      <w:r>
        <w:t xml:space="preserve">Guidance and the long-term 6%–8% growth target are reaffirmed;</w:t>
      </w:r>
    </w:p>
    <w:p>
      <w:pPr>
        <w:pStyle w:val="Compact"/>
        <w:numPr>
          <w:ilvl w:val="0"/>
          <w:numId w:val="1013"/>
        </w:numPr>
      </w:pPr>
      <w:r>
        <w:t xml:space="preserve">Capital deployment and transmission rate-base growth remain on track;</w:t>
      </w:r>
    </w:p>
    <w:p>
      <w:pPr>
        <w:pStyle w:val="Compact"/>
        <w:numPr>
          <w:ilvl w:val="0"/>
          <w:numId w:val="1013"/>
        </w:numPr>
      </w:pPr>
      <w:r>
        <w:t xml:space="preserve">Some, but not all, of the expected data-center contracting occurs; and</w:t>
      </w:r>
    </w:p>
    <w:p>
      <w:pPr>
        <w:pStyle w:val="Compact"/>
        <w:numPr>
          <w:ilvl w:val="0"/>
          <w:numId w:val="1013"/>
        </w:numPr>
      </w:pPr>
      <w:r>
        <w:t xml:space="preserve">West Virginia approval remains a second-half event.</w:t>
      </w:r>
    </w:p>
    <w:bookmarkEnd w:id="27"/>
    <w:bookmarkStart w:id="28" w:name="bear-case"/>
    <w:p>
      <w:pPr>
        <w:pStyle w:val="Heading3"/>
      </w:pPr>
      <w:r>
        <w:t xml:space="preserve">Bear case</w:t>
      </w:r>
    </w:p>
    <w:p>
      <w:pPr>
        <w:pStyle w:val="Compact"/>
        <w:numPr>
          <w:ilvl w:val="0"/>
          <w:numId w:val="1014"/>
        </w:numPr>
      </w:pPr>
      <w:r>
        <w:t xml:space="preserve">Guidance is cut or the second-half earnings ramp becomes more demanding;</w:t>
      </w:r>
    </w:p>
    <w:p>
      <w:pPr>
        <w:pStyle w:val="Compact"/>
        <w:numPr>
          <w:ilvl w:val="0"/>
          <w:numId w:val="1014"/>
        </w:numPr>
      </w:pPr>
      <w:r>
        <w:t xml:space="preserve">Storm expense, financing costs or O&amp;M pressure overwhelm rate-base growth;</w:t>
      </w:r>
    </w:p>
    <w:p>
      <w:pPr>
        <w:pStyle w:val="Compact"/>
        <w:numPr>
          <w:ilvl w:val="0"/>
          <w:numId w:val="1014"/>
        </w:numPr>
      </w:pPr>
      <w:r>
        <w:t xml:space="preserve">Data-center contracting falls materially short of the Q1 expectation;</w:t>
      </w:r>
    </w:p>
    <w:p>
      <w:pPr>
        <w:pStyle w:val="Compact"/>
        <w:numPr>
          <w:ilvl w:val="0"/>
          <w:numId w:val="1014"/>
        </w:numPr>
      </w:pPr>
      <w:r>
        <w:t xml:space="preserve">West Virginia approval is delayed or project costs rise;</w:t>
      </w:r>
    </w:p>
    <w:p>
      <w:pPr>
        <w:pStyle w:val="Compact"/>
        <w:numPr>
          <w:ilvl w:val="0"/>
          <w:numId w:val="1014"/>
        </w:numPr>
      </w:pPr>
      <w:r>
        <w:t xml:space="preserve">Equity requirements increase; or</w:t>
      </w:r>
    </w:p>
    <w:p>
      <w:pPr>
        <w:pStyle w:val="Compact"/>
        <w:numPr>
          <w:ilvl w:val="0"/>
          <w:numId w:val="1014"/>
        </w:numPr>
      </w:pPr>
      <w:r>
        <w:t xml:space="preserve">Adverse New Jersey, Ohio or FERC developments weaken regulatory visibility.</w:t>
      </w:r>
    </w:p>
    <w:bookmarkEnd w:id="28"/>
    <w:bookmarkEnd w:id="29"/>
    <w:bookmarkStart w:id="30" w:name="bottom-line"/>
    <w:p>
      <w:pPr>
        <w:pStyle w:val="Heading2"/>
      </w:pPr>
      <w:r>
        <w:t xml:space="preserve">Bottom line</w:t>
      </w:r>
    </w:p>
    <w:p>
      <w:pPr>
        <w:pStyle w:val="FirstParagraph"/>
      </w:pPr>
      <w:r>
        <w:t xml:space="preserve">FE enters Q2 with a credible regulated-growth story: a $36 billion five-year capital plan, approximately 10% expected rate-base growth, improving credit quality and a long-term EPS target near the upper end of 6%–8%.</w:t>
      </w:r>
    </w:p>
    <w:p>
      <w:pPr>
        <w:pStyle w:val="BodyText"/>
      </w:pPr>
      <w:r>
        <w:t xml:space="preserve">The report will be judged less on whether quarterly EPS beats by a few cents and more on whether management can prove that the next layer of growth is becoming real.</w:t>
      </w:r>
      <w:r>
        <w:t xml:space="preserve"> </w:t>
      </w:r>
      <w:r>
        <w:rPr>
          <w:b/>
          <w:bCs/>
        </w:rPr>
        <w:t xml:space="preserve">The decisive disclosures will be contracted data-center load, the West Virginia generation path, capital-plan execution and the financing required to fund incremental investment.</w:t>
      </w:r>
    </w:p>
    <w:p>
      <w:pPr>
        <w:pStyle w:val="BodyText"/>
      </w:pPr>
      <w:r>
        <w:t xml:space="preserve">If those pieces advance while 2026 guidance remains intact, the long-term thesis should strengthen. If the load pipeline remains largely prospective or requires substantially more equity and regulatory risk, investors may become less willing to capitalize the upside ahead of actual project approvals.</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2026-07-28T01:38:11Z</dcterms:created>
  <dcterms:modified xsi:type="dcterms:W3CDTF">2026-07-28T01:38:11Z</dcterms:modified>
</cp:coreProperties>
</file>

<file path=docProps/custom.xml><?xml version="1.0" encoding="utf-8"?>
<Properties xmlns="http://schemas.openxmlformats.org/officeDocument/2006/custom-properties" xmlns:vt="http://schemas.openxmlformats.org/officeDocument/2006/docPropsVTypes"/>
</file>