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e-earnings-predictions--2026-07-28"/>
    <w:p>
      <w:pPr>
        <w:pStyle w:val="Heading1"/>
      </w:pPr>
      <w:r>
        <w:t xml:space="preserve">FE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~$0.60 vs. cons $0.59.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~$3.63B vs. cons $3.59B.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Transmission rate-base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~15% vs. cons 15%.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2.62</m:t>
              </m:r>
              <m:r>
                <m:rPr>
                  <m:sty m:val="p"/>
                </m:rPr>
                <m:t>–</m:t>
              </m:r>
            </m:oMath>
            <w:r>
              <w:t xml:space="preserve">2.82 (mid ~$2.72) vs. cons $2.73 (FY2026).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capital deployment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~$6.0B vs. cons $6.0B (FY2026).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West Virginia 1.2-GW CPCN decision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~10/2026 vs. cons 10/2026 (2H26).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Day-1 ~+1.2% versus 5-day ~+0.3%: a modest EPS/revenue beat should be offset by unchanged FY26 EPS guidance of ~$2.72 midpoint versus $2.73 consensus, leaving 2H26 out-period earnings math largely intact rather than creating material upward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2026-07-28T01:36:51Z</dcterms:created>
  <dcterms:modified xsi:type="dcterms:W3CDTF">2026-07-28T01:36:51Z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