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FICO before writing the preview. Let me gather recent earnings transcripts, filings, news, and stock price data in parallel.The stock has been extraordinarily volatile — from ~</w:t>
      </w:r>
      <m:oMath>
        <m:r>
          <m:t>1650</m:t>
        </m:r>
        <m:r>
          <m:t>i</m:t>
        </m:r>
        <m:r>
          <m:t>n</m:t>
        </m:r>
        <m:r>
          <m:t>J</m:t>
        </m:r>
        <m:r>
          <m:t>a</m:t>
        </m:r>
        <m:r>
          <m:t>n</m:t>
        </m:r>
        <m:r>
          <m:t>u</m:t>
        </m:r>
        <m:r>
          <m:t>a</m:t>
        </m:r>
        <m:r>
          <m:t>r</m:t>
        </m:r>
        <m:r>
          <m:t>y</m:t>
        </m:r>
        <m:r>
          <m:t>t</m:t>
        </m:r>
        <m:r>
          <m:t>o</m:t>
        </m:r>
        <m:r>
          <m:t> </m:t>
        </m:r>
      </m:oMath>
      <w:r>
        <w:t xml:space="preserve">920 in April, now ~$1336. Let me dig into the most recent earnings and the news driving this.Let me get the latest news and context on the FHFA/VantageScore situation heading into the print.I now have what I need. Here's the preview.</w:t>
      </w:r>
    </w:p>
    <w:p>
      <w:r>
        <w:pict>
          <v:rect style="width:0;height:1.5pt" o:hralign="center" o:hrstd="t" o:hr="t"/>
        </w:pict>
      </w:r>
    </w:p>
    <w:bookmarkStart w:id="18" w:name="X24256ba0599503b631a442701f8f041e2bce309"/>
    <w:p>
      <w:pPr>
        <w:pStyle w:val="Heading1"/>
      </w:pPr>
      <w:r>
        <w:t xml:space="preserve">FICO (Fair Isaac Corp.) — Fiscal Q3 2026 Earnings Preview</w:t>
      </w:r>
    </w:p>
    <w:bookmarkStart w:id="9" w:name="X8cda2e221270382e2dfb7969617aa686a3987e8"/>
    <w:p>
      <w:pPr>
        <w:pStyle w:val="Heading3"/>
      </w:pPr>
      <w:r>
        <w:t xml:space="preserve">Report date: Wednesday, July 29, 2026 (after close) | Quarter ended June 30, 2026</w:t>
      </w:r>
    </w:p>
    <w:bookmarkEnd w:id="9"/>
    <w:bookmarkStart w:id="10" w:name="the-one-sentence-setup"/>
    <w:p>
      <w:pPr>
        <w:pStyle w:val="Heading2"/>
      </w:pPr>
      <w:r>
        <w:t xml:space="preserve">The one-sentence setup</w:t>
      </w:r>
    </w:p>
    <w:p>
      <w:pPr>
        <w:pStyle w:val="FirstParagraph"/>
      </w:pPr>
      <w:r>
        <w:t xml:space="preserve">FICO enters this print as a "great business, contested narrative" story: the core Scores engine is compounding at extraordinary rates on mortgage price hikes, but the stock has been cut roughly in half from its highs because investors fear the FHFA-driven arrival of VantageScore 4.0 (and the still-pending FICO Score 10T rollout) will erode FICO's mortgage-scoring monopoly. This quarter is less about the headline beat — which is likely — and more about</w:t>
      </w:r>
      <w:r>
        <w:t xml:space="preserve"> </w:t>
      </w:r>
      <w:r>
        <w:rPr>
          <w:b/>
          <w:bCs/>
        </w:rPr>
        <w:t xml:space="preserve">what management says on competition, pricing, and the Direct License Program (DLP) timeline.</w:t>
      </w:r>
    </w:p>
    <w:p>
      <w:r>
        <w:pict>
          <v:rect style="width:0;height:1.5pt" o:hralign="center" o:hrstd="t" o:hr="t"/>
        </w:pict>
      </w:r>
    </w:p>
    <w:bookmarkEnd w:id="10"/>
    <w:bookmarkStart w:id="11" w:name="X638c283ffeba436b1b58d50dc0a1c6100fba034"/>
    <w:p>
      <w:pPr>
        <w:pStyle w:val="Heading2"/>
      </w:pPr>
      <w:r>
        <w:t xml:space="preserve">1. Why the stock chart looks like a rollercoaster</w:t>
      </w:r>
    </w:p>
    <w:p>
      <w:pPr>
        <w:pStyle w:val="FirstParagraph"/>
      </w:pPr>
      <w:r>
        <w:t xml:space="preserve">FICO's 2026 has been dominated by regulatory headline risk, not fundamentals:</w:t>
      </w:r>
    </w:p>
    <w:p>
      <w:pPr>
        <w:pStyle w:val="Compact"/>
        <w:numPr>
          <w:ilvl w:val="0"/>
          <w:numId w:val="1001"/>
        </w:numPr>
      </w:pPr>
      <w:r>
        <w:t xml:space="preserve">Shares peaked near</w:t>
      </w:r>
      <w:r>
        <w:t xml:space="preserve"> </w:t>
      </w:r>
      <w:r>
        <w:rPr>
          <w:b/>
          <w:bCs/>
        </w:rPr>
        <w:t xml:space="preserve">~$2,218</w:t>
      </w:r>
      <w:r>
        <w:t xml:space="preserve"> </w:t>
      </w:r>
      <w:r>
        <w:t xml:space="preserve">in late 2025, then de-rated hard through Q1–Q2 as the FHFA/FHA opened the conforming mortgage market to VantageScore 4.0.</w:t>
      </w:r>
    </w:p>
    <w:p>
      <w:pPr>
        <w:pStyle w:val="Compact"/>
        <w:numPr>
          <w:ilvl w:val="0"/>
          <w:numId w:val="1001"/>
        </w:numPr>
      </w:pPr>
      <w:r>
        <w:t xml:space="preserve">The stock bottomed around</w:t>
      </w:r>
      <w:r>
        <w:t xml:space="preserve"> </w:t>
      </w:r>
      <m:oMath>
        <m:r>
          <m:t>922</m:t>
        </m:r>
        <m:r>
          <m:t>o</m:t>
        </m:r>
        <m:r>
          <m:t>n</m:t>
        </m:r>
        <m:r>
          <m:t>A</m:t>
        </m:r>
        <m:r>
          <m:t>p</m:t>
        </m:r>
        <m:r>
          <m:t>r</m:t>
        </m:r>
        <m:r>
          <m:t>i</m:t>
        </m:r>
        <m:r>
          <m:t>l</m:t>
        </m:r>
        <m:r>
          <m:t>10</m:t>
        </m:r>
        <m:r>
          <m:rPr>
            <m:sty m:val="p"/>
          </m:rPr>
          <m:t>,</m:t>
        </m:r>
        <m:r>
          <m:t>2026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n</m:t>
        </m:r>
        <m:r>
          <m:t>r</m:t>
        </m:r>
        <m:r>
          <m:t>e</m:t>
        </m:r>
        <m:r>
          <m:t>b</m:t>
        </m:r>
        <m:r>
          <m:t>o</m:t>
        </m:r>
        <m:r>
          <m:t>u</m:t>
        </m:r>
        <m:r>
          <m:t>n</m:t>
        </m:r>
        <m:r>
          <m:t>d</m:t>
        </m:r>
        <m:r>
          <m:t>e</m:t>
        </m:r>
        <m:r>
          <m:t>d</m:t>
        </m:r>
        <m:r>
          <m:t>t</m:t>
        </m:r>
        <m:r>
          <m:t>o</m:t>
        </m:r>
        <m:r>
          <m:t>t</m:t>
        </m:r>
        <m:r>
          <m:t>h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1,200–</w:t>
      </w:r>
      <m:oMath>
        <m:r>
          <m:t>1</m:t>
        </m:r>
        <m:r>
          <m:rPr>
            <m:sty m:val="p"/>
          </m:rPr>
          <m:t>,</m:t>
        </m:r>
        <m:r>
          <m:t>340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r</m:t>
        </m:r>
        <m:r>
          <m:t>a</m:t>
        </m:r>
        <m:r>
          <m:t>n</m:t>
        </m:r>
        <m:r>
          <m:t>g</m:t>
        </m:r>
        <m:r>
          <m:t>e</m:t>
        </m:r>
        <m:r>
          <m:rPr>
            <m:sty m:val="p"/>
          </m:rPr>
          <m:t>.</m:t>
        </m:r>
        <m:r>
          <m:t>I</m:t>
        </m:r>
        <m:r>
          <m:t>t</m:t>
        </m:r>
        <m:r>
          <m:t>c</m:t>
        </m:r>
        <m:r>
          <m:t>l</m:t>
        </m:r>
        <m:r>
          <m:t>o</m:t>
        </m:r>
        <m:r>
          <m:t>s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1,336</w:t>
      </w:r>
      <w:r>
        <w:t xml:space="preserve"> </w:t>
      </w:r>
      <w:r>
        <w:t xml:space="preserve">on July 28 — up sharply (~+4.4%) the day before earnings, and up two straight sessions ($1,281 → $1,336) into the print, suggesting positioning is leaning constructive.</w:t>
      </w:r>
    </w:p>
    <w:p>
      <w:pPr>
        <w:pStyle w:val="Compact"/>
        <w:numPr>
          <w:ilvl w:val="0"/>
          <w:numId w:val="1001"/>
        </w:numPr>
      </w:pPr>
      <w:r>
        <w:t xml:space="preserve">Net: roughly</w:t>
      </w:r>
      <w:r>
        <w:t xml:space="preserve"> </w:t>
      </w:r>
      <w:r>
        <w:rPr>
          <w:b/>
          <w:bCs/>
        </w:rPr>
        <w:t xml:space="preserve">-19% YTD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~-40% off the high</w:t>
      </w:r>
      <w:r>
        <w:t xml:space="preserve">, but</w:t>
      </w:r>
      <w:r>
        <w:t xml:space="preserve"> </w:t>
      </w:r>
      <w:r>
        <w:rPr>
          <w:b/>
          <w:bCs/>
        </w:rPr>
        <w:t xml:space="preserve">~+45% off the April trough.</w:t>
      </w:r>
    </w:p>
    <w:p>
      <w:pPr>
        <w:pStyle w:val="FirstParagraph"/>
      </w:pPr>
      <w:r>
        <w:t xml:space="preserve">The multiple compression tells the story. Bears point out the stock fell from ~40x forward earnings at its high to the low-20s x — a re-rating driven almost entirely by the VantageScore/AI-disruption narrative rather than by any actual revenue miss.</w:t>
      </w:r>
    </w:p>
    <w:p>
      <w:pPr>
        <w:pStyle w:val="BodyText"/>
      </w:pPr>
      <w:r>
        <w:rPr>
          <w:b/>
          <w:bCs/>
        </w:rPr>
        <w:t xml:space="preserve">Implication:</w:t>
      </w:r>
      <w:r>
        <w:t xml:space="preserve"> </w:t>
      </w:r>
      <w:r>
        <w:t xml:space="preserve">expectations for the numbers are healthy, but sentiment on the</w:t>
      </w:r>
      <w:r>
        <w:t xml:space="preserve"> </w:t>
      </w:r>
      <w:r>
        <w:rPr>
          <w:i/>
          <w:iCs/>
        </w:rPr>
        <w:t xml:space="preserve">thesis</w:t>
      </w:r>
      <w:r>
        <w:t xml:space="preserve"> </w:t>
      </w:r>
      <w:r>
        <w:t xml:space="preserve">is fragile. The reaction will hinge on the qualitative competitive update.</w:t>
      </w:r>
    </w:p>
    <w:p>
      <w:r>
        <w:pict>
          <v:rect style="width:0;height:1.5pt" o:hralign="center" o:hrstd="t" o:hr="t"/>
        </w:pict>
      </w:r>
    </w:p>
    <w:bookmarkEnd w:id="11"/>
    <w:bookmarkStart w:id="12" w:name="Xc3c35e42dfd33990ef76268f38e88266a77ebc2"/>
    <w:p>
      <w:pPr>
        <w:pStyle w:val="Heading2"/>
      </w:pPr>
      <w:r>
        <w:t xml:space="preserve">2. What the Street expects for Q3</w:t>
      </w:r>
    </w:p>
    <w:p>
      <w:pPr>
        <w:pStyle w:val="Compact"/>
        <w:numPr>
          <w:ilvl w:val="0"/>
          <w:numId w:val="1002"/>
        </w:numPr>
      </w:pPr>
      <w:r>
        <w:t xml:space="preserve">**Revenue consensus: ~</w:t>
      </w:r>
      <m:oMath>
        <m:r>
          <m:t>679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rPr>
            <m:sty m:val="p"/>
          </m:rPr>
          <m:t>≈</m:t>
        </m:r>
        <m:r>
          <m:rPr>
            <m:sty m:val="p"/>
          </m:rPr>
          <m:t>+</m:t>
        </m:r>
        <m:r>
          <m:t>27</m:t>
        </m:r>
      </m:oMath>
      <w:r>
        <w:t xml:space="preserve">536M year-ago quarter).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Non-GAAP EPS consensus: ~</w:t>
      </w:r>
      <m:oMath>
        <m:r>
          <m:t>12.02</m:t>
        </m:r>
        <m:r>
          <m:rPr>
            <m:sty m:val="p"/>
          </m:rPr>
          <m:t>–</m:t>
        </m:r>
      </m:oMath>
      <w:r>
        <w:rPr>
          <w:b/>
          <w:bCs/>
        </w:rPr>
        <w:t xml:space="preserve">12.05.</w:t>
      </w:r>
    </w:p>
    <w:p>
      <w:pPr>
        <w:pStyle w:val="Compact"/>
        <w:numPr>
          <w:ilvl w:val="0"/>
          <w:numId w:val="1002"/>
        </w:numPr>
      </w:pPr>
      <w:r>
        <w:t xml:space="preserve">FICO has</w:t>
      </w:r>
      <w:r>
        <w:t xml:space="preserve"> </w:t>
      </w:r>
      <w:r>
        <w:rPr>
          <w:b/>
          <w:bCs/>
        </w:rPr>
        <w:t xml:space="preserve">beaten EPS in each of the last four quarters</w:t>
      </w:r>
      <w:r>
        <w:t xml:space="preserve"> </w:t>
      </w:r>
      <w:r>
        <w:t xml:space="preserve">by consensus tallies, so a beat is close to the base case.</w:t>
      </w:r>
    </w:p>
    <w:p>
      <w:pPr>
        <w:pStyle w:val="FirstParagraph"/>
      </w:pPr>
      <w:r>
        <w:rPr>
          <w:b/>
          <w:bCs/>
        </w:rPr>
        <w:t xml:space="preserve">Full-year FY26 guidance (raised at Q2):</w:t>
      </w:r>
      <w:r>
        <w:t xml:space="preserve"> </w:t>
      </w:r>
      <w:r>
        <w:t xml:space="preserve">| Metric | FY26 Guide |</w:t>
      </w:r>
      <w:r>
        <w:t xml:space="preserve"> </w:t>
      </w:r>
      <w:r>
        <w:t xml:space="preserve">|---|---|</w:t>
      </w:r>
      <w:r>
        <w:t xml:space="preserve"> </w:t>
      </w:r>
      <w:r>
        <w:t xml:space="preserve">| Revenue | $2.45B (+23% YoY) |</w:t>
      </w:r>
      <w:r>
        <w:t xml:space="preserve"> </w:t>
      </w:r>
      <w:r>
        <w:t xml:space="preserve">| GAAP net income | $825M |</w:t>
      </w:r>
      <w:r>
        <w:t xml:space="preserve"> </w:t>
      </w:r>
      <w:r>
        <w:t xml:space="preserve">| GAAP EPS | $35.60 |</w:t>
      </w:r>
      <w:r>
        <w:t xml:space="preserve"> </w:t>
      </w:r>
      <w:r>
        <w:t xml:space="preserve">| Non-GAAP net income | $946M |</w:t>
      </w:r>
      <w:r>
        <w:t xml:space="preserve"> </w:t>
      </w:r>
      <w:r>
        <w:t xml:space="preserve">| Non-GAAP EPS | $40.45 |</w:t>
      </w:r>
    </w:p>
    <w:p>
      <w:pPr>
        <w:pStyle w:val="BodyText"/>
      </w:pPr>
      <w:r>
        <w:t xml:space="preserve">FICO has</w:t>
      </w:r>
      <w:r>
        <w:t xml:space="preserve"> </w:t>
      </w:r>
      <w:r>
        <w:rPr>
          <w:b/>
          <w:bCs/>
        </w:rPr>
        <w:t xml:space="preserve">raised guidance every quarter this year</w:t>
      </w:r>
      <w:r>
        <w:t xml:space="preserve"> </w:t>
      </w:r>
      <w:r>
        <w:t xml:space="preserve">(revenue went from $2.35B → $2.45B at Q2). The market will treat another raise as the baseline;</w:t>
      </w:r>
      <w:r>
        <w:t xml:space="preserve"> </w:t>
      </w:r>
      <w:r>
        <w:rPr>
          <w:b/>
          <w:bCs/>
        </w:rPr>
        <w:t xml:space="preserve">a mere reiteration could be read as caution</w:t>
      </w:r>
      <w:r>
        <w:t xml:space="preserve">, especially given a seasonally strong purchase-mortgage quarter (calendar Apr–Jun).</w:t>
      </w:r>
    </w:p>
    <w:p>
      <w:r>
        <w:pict>
          <v:rect style="width:0;height:1.5pt" o:hralign="center" o:hrstd="t" o:hr="t"/>
        </w:pict>
      </w:r>
    </w:p>
    <w:bookmarkEnd w:id="12"/>
    <w:bookmarkStart w:id="13" w:name="X175d7c3de4a5276ad601dec4e4afbe92e5ac41a"/>
    <w:p>
      <w:pPr>
        <w:pStyle w:val="Heading2"/>
      </w:pPr>
      <w:r>
        <w:t xml:space="preserve">3. The engine: how strong was mortgage again?</w:t>
      </w:r>
    </w:p>
    <w:p>
      <w:pPr>
        <w:pStyle w:val="FirstParagraph"/>
      </w:pPr>
      <w:r>
        <w:t xml:space="preserve">Last quarter (Q2 FY26) was a blowout in Scores, and it sets a high bar: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Scores revenue +60% YoY</w:t>
      </w:r>
      <w:r>
        <w:t xml:space="preserve"> </w:t>
      </w:r>
      <w:r>
        <w:t xml:space="preserve">to $475M;</w:t>
      </w:r>
      <w:r>
        <w:t xml:space="preserve"> </w:t>
      </w:r>
      <w:r>
        <w:rPr>
          <w:b/>
          <w:bCs/>
        </w:rPr>
        <w:t xml:space="preserve">B2B +72%</w:t>
      </w:r>
      <w:r>
        <w:t xml:space="preserve">;</w:t>
      </w:r>
      <w:r>
        <w:t xml:space="preserve"> </w:t>
      </w:r>
      <w:r>
        <w:rPr>
          <w:b/>
          <w:bCs/>
        </w:rPr>
        <w:t xml:space="preserve">mortgage originations revenue +127% YoY.</w:t>
      </w:r>
    </w:p>
    <w:p>
      <w:pPr>
        <w:pStyle w:val="Compact"/>
        <w:numPr>
          <w:ilvl w:val="0"/>
          <w:numId w:val="1003"/>
        </w:numPr>
      </w:pPr>
      <w:r>
        <w:t xml:space="preserve">Mortgage was</w:t>
      </w:r>
      <w:r>
        <w:t xml:space="preserve"> </w:t>
      </w:r>
      <w:r>
        <w:rPr>
          <w:b/>
          <w:bCs/>
        </w:rPr>
        <w:t xml:space="preserve">72% of B2B and 63% of total Scores revenue</w:t>
      </w:r>
      <w:r>
        <w:t xml:space="preserve"> </w:t>
      </w:r>
      <w:r>
        <w:t xml:space="preserve">— extreme concentration.</w:t>
      </w:r>
    </w:p>
    <w:p>
      <w:pPr>
        <w:pStyle w:val="Compact"/>
        <w:numPr>
          <w:ilvl w:val="0"/>
          <w:numId w:val="1003"/>
        </w:numPr>
      </w:pPr>
      <w:r>
        <w:t xml:space="preserve">The growth was</w:t>
      </w:r>
      <w:r>
        <w:t xml:space="preserve"> </w:t>
      </w:r>
      <w:r>
        <w:rPr>
          <w:b/>
          <w:bCs/>
        </w:rPr>
        <w:t xml:space="preserve">mostly price</w:t>
      </w:r>
      <w:r>
        <w:t xml:space="preserve"> </w:t>
      </w:r>
      <w:r>
        <w:t xml:space="preserve">(the 2026 wholesale royalty step-up)</w:t>
      </w:r>
      <w:r>
        <w:t xml:space="preserve"> </w:t>
      </w:r>
      <w:r>
        <w:rPr>
          <w:b/>
          <w:bCs/>
        </w:rPr>
        <w:t xml:space="preserve">plus better-than-expected volume</w:t>
      </w:r>
      <w:r>
        <w:t xml:space="preserve">, aided by a dip in rates. Management explicitly said it guides mortgage volume</w:t>
      </w:r>
      <w:r>
        <w:t xml:space="preserve"> </w:t>
      </w:r>
      <w:r>
        <w:rPr>
          <w:b/>
          <w:bCs/>
        </w:rPr>
        <w:t xml:space="preserve">conservatively</w:t>
      </w:r>
      <w:r>
        <w:t xml:space="preserve"> </w:t>
      </w:r>
      <w:r>
        <w:t xml:space="preserve">and does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assume any share loss.</w:t>
      </w:r>
    </w:p>
    <w:p>
      <w:pPr>
        <w:pStyle w:val="FirstParagraph"/>
      </w:pPr>
      <w:r>
        <w:rPr>
          <w:b/>
          <w:bCs/>
        </w:rPr>
        <w:t xml:space="preserve">What to watch in Q3: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Mortgage volume trend</w:t>
      </w:r>
      <w:r>
        <w:t xml:space="preserve"> </w:t>
      </w:r>
      <w:r>
        <w:t xml:space="preserve">into the spring/summer buying season — did the rate-driven uptick persist? Bureaus (TransUnion) have flagged mortgage as a recovery story.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Auto decelerated</w:t>
      </w:r>
      <w:r>
        <w:t xml:space="preserve"> </w:t>
      </w:r>
      <w:r>
        <w:t xml:space="preserve">last quarter (+13%, tough comps, mix shift to lower-priced tiers); card/personal loan was +6%. Watch for any consumer softening — management noted some subprime softness offset by prime/super-prime.</w:t>
      </w:r>
    </w:p>
    <w:p>
      <w:pPr>
        <w:pStyle w:val="Compact"/>
        <w:numPr>
          <w:ilvl w:val="0"/>
          <w:numId w:val="1004"/>
        </w:numPr>
      </w:pPr>
      <w:r>
        <w:t xml:space="preserve">Whether the</w:t>
      </w:r>
      <w:r>
        <w:t xml:space="preserve"> </w:t>
      </w:r>
      <w:r>
        <w:rPr>
          <w:b/>
          <w:bCs/>
        </w:rPr>
        <w:t xml:space="preserve">big price-driven YoY growth rate is starting to lap</w:t>
      </w:r>
      <w:r>
        <w:t xml:space="preserve"> </w:t>
      </w:r>
      <w:r>
        <w:t xml:space="preserve">(2026 vs. 2025 pricing base).</w:t>
      </w:r>
    </w:p>
    <w:p>
      <w:r>
        <w:pict>
          <v:rect style="width:0;height:1.5pt" o:hralign="center" o:hrstd="t" o:hr="t"/>
        </w:pict>
      </w:r>
    </w:p>
    <w:bookmarkEnd w:id="13"/>
    <w:bookmarkStart w:id="14" w:name="X20ad2c95b9bc3276ae492af1d381b3f958deaf6"/>
    <w:p>
      <w:pPr>
        <w:pStyle w:val="Heading2"/>
      </w:pPr>
      <w:r>
        <w:t xml:space="preserve">4. The whole ballgame: the VantageScore / FICO 10T competitive update</w:t>
      </w:r>
    </w:p>
    <w:p>
      <w:pPr>
        <w:pStyle w:val="FirstParagraph"/>
      </w:pPr>
      <w:r>
        <w:t xml:space="preserve">This is the section that moves the stock. Key facts and the live debate:</w:t>
      </w:r>
    </w:p>
    <w:p>
      <w:pPr>
        <w:pStyle w:val="BodyText"/>
      </w:pPr>
      <w:r>
        <w:rPr>
          <w:b/>
          <w:bCs/>
        </w:rPr>
        <w:t xml:space="preserve">The regulatory backdrop (2026 timeline):</w:t>
      </w:r>
    </w:p>
    <w:p>
      <w:pPr>
        <w:pStyle w:val="Compact"/>
        <w:numPr>
          <w:ilvl w:val="0"/>
          <w:numId w:val="1005"/>
        </w:numPr>
      </w:pPr>
      <w:r>
        <w:t xml:space="preserve">April 2026: FHFA revised Fannie/Freddie selling policies to allow</w:t>
      </w:r>
      <w:r>
        <w:t xml:space="preserve"> </w:t>
      </w:r>
      <w:r>
        <w:rPr>
          <w:b/>
          <w:bCs/>
        </w:rPr>
        <w:t xml:space="preserve">current use of VantageScore 4.0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future use of FICO 10T</w:t>
      </w:r>
      <w:r>
        <w:t xml:space="preserve">; FHA (HUD Sec. Turner) also permitted both for FHA-insured underwriting.</w:t>
      </w:r>
    </w:p>
    <w:p>
      <w:pPr>
        <w:pStyle w:val="Compact"/>
        <w:numPr>
          <w:ilvl w:val="0"/>
          <w:numId w:val="1005"/>
        </w:numPr>
      </w:pPr>
      <w:r>
        <w:t xml:space="preserve">The GSEs began</w:t>
      </w:r>
      <w:r>
        <w:t xml:space="preserve"> </w:t>
      </w:r>
      <w:r>
        <w:rPr>
          <w:b/>
          <w:bCs/>
        </w:rPr>
        <w:t xml:space="preserve">accepting VantageScore 4.0 mortgages via a limited rollout to ~21 approved lenders.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July 1, 2026 (the big one):</w:t>
      </w:r>
      <w:r>
        <w:t xml:space="preserve"> </w:t>
      </w:r>
      <w:r>
        <w:t xml:space="preserve">Fannie and Freddie</w:t>
      </w:r>
      <w:r>
        <w:t xml:space="preserve"> </w:t>
      </w:r>
      <w:r>
        <w:rPr>
          <w:b/>
          <w:bCs/>
        </w:rPr>
        <w:t xml:space="preserve">published historical loan-level data for FICO Score 10T</w:t>
      </w:r>
      <w:r>
        <w:t xml:space="preserve"> </w:t>
      </w:r>
      <w:r>
        <w:t xml:space="preserve">(covering ~April 2013–Sept 2025, 12+ years) plus additional VantageScore 4.0 data (only back to ~April 2023). This is exactly the "10T data over the summer" management pointed to —</w:t>
      </w:r>
      <w:r>
        <w:t xml:space="preserve"> </w:t>
      </w:r>
      <w:r>
        <w:rPr>
          <w:b/>
          <w:bCs/>
        </w:rPr>
        <w:t xml:space="preserve">it dropped mid-way through this fiscal quarter</w:t>
      </w:r>
      <w:r>
        <w:t xml:space="preserve">, so this call is the</w:t>
      </w:r>
      <w:r>
        <w:t xml:space="preserve"> </w:t>
      </w:r>
      <w:r>
        <w:rPr>
          <w:b/>
          <w:bCs/>
        </w:rPr>
        <w:t xml:space="preserve">first management commentary since the data went public.</w:t>
      </w:r>
    </w:p>
    <w:p>
      <w:pPr>
        <w:pStyle w:val="FirstParagraph"/>
      </w:pPr>
      <w:r>
        <w:rPr>
          <w:b/>
          <w:bCs/>
        </w:rPr>
        <w:t xml:space="preserve">FICO's aggressive pricing counter-move:</w:t>
      </w:r>
    </w:p>
    <w:p>
      <w:pPr>
        <w:pStyle w:val="Compact"/>
        <w:numPr>
          <w:ilvl w:val="0"/>
          <w:numId w:val="1006"/>
        </w:numPr>
      </w:pPr>
      <w:r>
        <w:t xml:space="preserve">FICO slashed the FICO 10T performance-model price from</w:t>
      </w:r>
      <w:r>
        <w:t xml:space="preserve"> </w:t>
      </w:r>
      <w:r>
        <w:rPr>
          <w:b/>
          <w:bCs/>
        </w:rPr>
        <w:t xml:space="preserve">$4.95 + $33 funding fee to $0.99 + $65 funding fee</w:t>
      </w:r>
      <w:r>
        <w:t xml:space="preserve"> </w:t>
      </w:r>
      <w:r>
        <w:t xml:space="preserve">— deliberately putting the upfront score</w:t>
      </w:r>
      <w:r>
        <w:t xml:space="preserve"> </w:t>
      </w:r>
      <w:r>
        <w:rPr>
          <w:b/>
          <w:bCs/>
        </w:rPr>
        <w:t xml:space="preserve">at parity with VantageScore's $0.99</w:t>
      </w:r>
      <w:r>
        <w:t xml:space="preserve"> </w:t>
      </w:r>
      <w:r>
        <w:t xml:space="preserve">to encourage 10T adoption and blunt price-competition arguments. Management insists the two pricing models are roughly</w:t>
      </w:r>
      <w:r>
        <w:t xml:space="preserve"> </w:t>
      </w:r>
      <w:r>
        <w:rPr>
          <w:b/>
          <w:bCs/>
        </w:rPr>
        <w:t xml:space="preserve">revenue-neutral</w:t>
      </w:r>
      <w:r>
        <w:t xml:space="preserve"> </w:t>
      </w:r>
      <w:r>
        <w:t xml:space="preserve">to FICO.</w:t>
      </w:r>
    </w:p>
    <w:p>
      <w:pPr>
        <w:pStyle w:val="FirstParagraph"/>
      </w:pPr>
      <w:r>
        <w:rPr>
          <w:b/>
          <w:bCs/>
        </w:rPr>
        <w:t xml:space="preserve">Management's framing (bull case they'll repeat):</w:t>
      </w:r>
    </w:p>
    <w:p>
      <w:pPr>
        <w:pStyle w:val="Compact"/>
        <w:numPr>
          <w:ilvl w:val="0"/>
          <w:numId w:val="1007"/>
        </w:numPr>
      </w:pPr>
      <w:r>
        <w:t xml:space="preserve">CEO Will Lansing argues FICO is competitive on price and</w:t>
      </w:r>
      <w:r>
        <w:t xml:space="preserve"> </w:t>
      </w:r>
      <w:r>
        <w:rPr>
          <w:b/>
          <w:bCs/>
        </w:rPr>
        <w:t xml:space="preserve">superior on predictiveness</w:t>
      </w:r>
      <w:r>
        <w:t xml:space="preserve">; he pegged paid VantageScore share at roughly</w:t>
      </w:r>
      <w:r>
        <w:t xml:space="preserve"> </w:t>
      </w:r>
      <w:r>
        <w:rPr>
          <w:b/>
          <w:bCs/>
        </w:rPr>
        <w:t xml:space="preserve">~2%</w:t>
      </w:r>
      <w:r>
        <w:t xml:space="preserve"> </w:t>
      </w:r>
      <w:r>
        <w:t xml:space="preserve">and said "nobody is paying for VantageScores" (bureaus bundle them free).</w:t>
      </w:r>
    </w:p>
    <w:p>
      <w:pPr>
        <w:pStyle w:val="Compact"/>
        <w:numPr>
          <w:ilvl w:val="0"/>
          <w:numId w:val="1007"/>
        </w:numPr>
      </w:pPr>
      <w:r>
        <w:t xml:space="preserve">Securitization market "not ready" for VantageScore — fewer than ~20 VantageScore-backed mortgages securitized (&lt;0.1%).</w:t>
      </w:r>
    </w:p>
    <w:p>
      <w:pPr>
        <w:pStyle w:val="Compact"/>
        <w:numPr>
          <w:ilvl w:val="0"/>
          <w:numId w:val="1007"/>
        </w:numPr>
      </w:pPr>
      <w:r>
        <w:t xml:space="preserve">The 12-years-vs-2-years data disparity is FICO's core argument: VantageScore data doesn't span a full credit cycle, so investors should demand a premium for unknown default/prepayment risk.</w:t>
      </w:r>
    </w:p>
    <w:p>
      <w:pPr>
        <w:pStyle w:val="FirstParagraph"/>
      </w:pPr>
      <w:r>
        <w:rPr>
          <w:b/>
          <w:bCs/>
        </w:rPr>
        <w:t xml:space="preserve">What investors need answered on the call: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DLP go-live timing.</w:t>
      </w:r>
      <w:r>
        <w:t xml:space="preserve"> </w:t>
      </w:r>
      <w:r>
        <w:t xml:space="preserve">Last quarter,</w:t>
      </w:r>
      <w:r>
        <w:t xml:space="preserve"> </w:t>
      </w:r>
      <w:r>
        <w:rPr>
          <w:b/>
          <w:bCs/>
        </w:rPr>
        <w:t xml:space="preserve">3 of the top 5 resellers were signed</w:t>
      </w:r>
      <w:r>
        <w:t xml:space="preserve"> </w:t>
      </w:r>
      <w:r>
        <w:t xml:space="preserve">(in talks with the other 2), but FICO is</w:t>
      </w:r>
      <w:r>
        <w:t xml:space="preserve"> </w:t>
      </w:r>
      <w:r>
        <w:rPr>
          <w:b/>
          <w:bCs/>
        </w:rPr>
        <w:t xml:space="preserve">still awaiting FHFA sign-off</w:t>
      </w:r>
      <w:r>
        <w:t xml:space="preserve"> </w:t>
      </w:r>
      <w:r>
        <w:t xml:space="preserve">on resellers calculating the score. Any concrete date is a positive catalyst; continued "we're close" ambiguity is a mild negative.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Early read on the July 1 10T data</w:t>
      </w:r>
      <w:r>
        <w:t xml:space="preserve"> </w:t>
      </w:r>
      <w:r>
        <w:t xml:space="preserve">— has third-party analysis begun validating 10T's predictiveness, and does management sound more/less confident?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"Gaming" / dual-pull risk.</w:t>
      </w:r>
      <w:r>
        <w:t xml:space="preserve"> </w:t>
      </w:r>
      <w:r>
        <w:t xml:space="preserve">In a two-score world, lenders may pull</w:t>
      </w:r>
      <w:r>
        <w:t xml:space="preserve"> </w:t>
      </w:r>
      <w:r>
        <w:rPr>
          <w:i/>
          <w:iCs/>
        </w:rPr>
        <w:t xml:space="preserve">both</w:t>
      </w:r>
      <w:r>
        <w:t xml:space="preserve"> </w:t>
      </w:r>
      <w:r>
        <w:t xml:space="preserve">scores and submit the more favorable one. Management concedes this is</w:t>
      </w:r>
      <w:r>
        <w:t xml:space="preserve"> </w:t>
      </w:r>
      <w:r>
        <w:rPr>
          <w:i/>
          <w:iCs/>
        </w:rPr>
        <w:t xml:space="preserve">technically share loss but not volume loss</w:t>
      </w:r>
      <w:r>
        <w:t xml:space="preserve"> </w:t>
      </w:r>
      <w:r>
        <w:t xml:space="preserve">(it expands the market). Watch for any change in tone here.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Selling-guide details / LLPA grids</w:t>
      </w:r>
      <w:r>
        <w:t xml:space="preserve"> </w:t>
      </w:r>
      <w:r>
        <w:t xml:space="preserve">— the mechanics of how GSEs prevent gaming remain unpublished; management has "heard nothing."</w:t>
      </w:r>
    </w:p>
    <w:p>
      <w:r>
        <w:pict>
          <v:rect style="width:0;height:1.5pt" o:hralign="center" o:hrstd="t" o:hr="t"/>
        </w:pict>
      </w:r>
    </w:p>
    <w:bookmarkEnd w:id="14"/>
    <w:bookmarkStart w:id="15" w:name="X1a844730ec7067bf2cbaa83dd9cac3e5ca5503b"/>
    <w:p>
      <w:pPr>
        <w:pStyle w:val="Heading2"/>
      </w:pPr>
      <w:r>
        <w:t xml:space="preserve">5. Software: the quieter, mixed-signal segment</w:t>
      </w:r>
    </w:p>
    <w:p>
      <w:pPr>
        <w:pStyle w:val="Compact"/>
        <w:numPr>
          <w:ilvl w:val="0"/>
          <w:numId w:val="1009"/>
        </w:numPr>
      </w:pPr>
      <w:r>
        <w:t xml:space="preserve">Software revenue</w:t>
      </w:r>
      <w:r>
        <w:t xml:space="preserve"> </w:t>
      </w:r>
      <w:r>
        <w:rPr>
          <w:b/>
          <w:bCs/>
        </w:rPr>
        <w:t xml:space="preserve">+7%</w:t>
      </w:r>
      <w:r>
        <w:t xml:space="preserve"> </w:t>
      </w:r>
      <w:r>
        <w:t xml:space="preserve">to $217M last quarter — solid but overshadowed by Scores.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Platform ARR +49% to $349M</w:t>
      </w:r>
      <w:r>
        <w:t xml:space="preserve"> </w:t>
      </w:r>
      <w:r>
        <w:t xml:space="preserve">(mid-30s% ex-migrations);</w:t>
      </w:r>
      <w:r>
        <w:t xml:space="preserve"> </w:t>
      </w:r>
      <w:r>
        <w:rPr>
          <w:b/>
          <w:bCs/>
        </w:rPr>
        <w:t xml:space="preserve">non-platform ARR -8%</w:t>
      </w:r>
      <w:r>
        <w:t xml:space="preserve"> </w:t>
      </w:r>
      <w:r>
        <w:t xml:space="preserve">and shrinking.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Platform net revenue retention 136%</w:t>
      </w:r>
      <w:r>
        <w:t xml:space="preserve"> </w:t>
      </w:r>
      <w:r>
        <w:t xml:space="preserve">vs. non-platform 90%; blended</w:t>
      </w:r>
      <w:r>
        <w:t xml:space="preserve"> </w:t>
      </w:r>
      <w:r>
        <w:rPr>
          <w:b/>
          <w:bCs/>
        </w:rPr>
        <w:t xml:space="preserve">109%.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ACV bookings</w:t>
      </w:r>
      <w:r>
        <w:t xml:space="preserve"> </w:t>
      </w:r>
      <w:r>
        <w:t xml:space="preserve">were soft at $28M in the quarter, though trailing-12-month bookings were +36%; management guided</w:t>
      </w:r>
      <w:r>
        <w:t xml:space="preserve"> </w:t>
      </w:r>
      <w:r>
        <w:rPr>
          <w:b/>
          <w:bCs/>
        </w:rPr>
        <w:t xml:space="preserve">2H bookings &gt; 1H.</w:t>
      </w:r>
    </w:p>
    <w:p>
      <w:pPr>
        <w:pStyle w:val="FirstParagraph"/>
      </w:pPr>
      <w:r>
        <w:rPr>
          <w:b/>
          <w:bCs/>
        </w:rPr>
        <w:t xml:space="preserve">Watch:</w:t>
      </w:r>
      <w:r>
        <w:t xml:space="preserve"> </w:t>
      </w:r>
      <w:r>
        <w:t xml:space="preserve">whether platform growth is still decelerating as easy migrations lap, non-platform runoff pace, and the 2H bookings ramp management promised. Note guidance already flags</w:t>
      </w:r>
      <w:r>
        <w:t xml:space="preserve"> </w:t>
      </w:r>
      <w:r>
        <w:rPr>
          <w:b/>
          <w:bCs/>
        </w:rPr>
        <w:t xml:space="preserve">lower point-in-time (license) revenue</w:t>
      </w:r>
      <w:r>
        <w:t xml:space="preserve"> </w:t>
      </w:r>
      <w:r>
        <w:t xml:space="preserve">through FY26 — so a soft on-prem quarter shouldn't surprise.</w:t>
      </w:r>
    </w:p>
    <w:p>
      <w:r>
        <w:pict>
          <v:rect style="width:0;height:1.5pt" o:hralign="center" o:hrstd="t" o:hr="t"/>
        </w:pict>
      </w:r>
    </w:p>
    <w:bookmarkEnd w:id="15"/>
    <w:bookmarkStart w:id="16" w:name="Xe67c751b8dce6c0d4b659205e66e50d05f716a9"/>
    <w:p>
      <w:pPr>
        <w:pStyle w:val="Heading2"/>
      </w:pPr>
      <w:r>
        <w:t xml:space="preserve">6. Capital return &amp; balance sheet</w:t>
      </w:r>
    </w:p>
    <w:p>
      <w:pPr>
        <w:pStyle w:val="Compact"/>
        <w:numPr>
          <w:ilvl w:val="0"/>
          <w:numId w:val="1010"/>
        </w:numPr>
      </w:pPr>
      <w:r>
        <w:t xml:space="preserve">FICO is leaning</w:t>
      </w:r>
      <w:r>
        <w:t xml:space="preserve"> </w:t>
      </w:r>
      <w:r>
        <w:rPr>
          <w:b/>
          <w:bCs/>
        </w:rPr>
        <w:t xml:space="preserve">hard into buybacks at depressed prices</w:t>
      </w:r>
      <w:r>
        <w:t xml:space="preserve">: **</w:t>
      </w:r>
      <m:oMath>
        <m:r>
          <m:t>605</m:t>
        </m:r>
        <m:r>
          <m:t>M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d</m:t>
        </m:r>
        <m:r>
          <m:t>i</m:t>
        </m:r>
        <m:r>
          <m:t>n</m:t>
        </m:r>
        <m:r>
          <m:t>Q</m:t>
        </m:r>
        <m:r>
          <m:t>2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l</m:t>
        </m:r>
        <m:r>
          <m:t>a</m:t>
        </m:r>
        <m:r>
          <m:t>r</m:t>
        </m:r>
        <m:r>
          <m:t>g</m:t>
        </m:r>
        <m:r>
          <m:t>e</m:t>
        </m:r>
        <m:r>
          <m:t>s</m:t>
        </m:r>
        <m:r>
          <m:t>t</m:t>
        </m:r>
        <m:r>
          <m:rPr>
            <m:sty m:val="p"/>
          </m:rPr>
          <m:t>−</m:t>
        </m:r>
        <m:r>
          <m:t>e</m:t>
        </m:r>
        <m:r>
          <m:t>v</m:t>
        </m:r>
        <m:r>
          <m:t>e</m:t>
        </m:r>
        <m:r>
          <m:t>r</m:t>
        </m:r>
        <m:r>
          <m:t>d</m:t>
        </m:r>
        <m:r>
          <m:t>o</m:t>
        </m:r>
        <m:r>
          <m:t>l</m:t>
        </m:r>
        <m:r>
          <m:t>l</m:t>
        </m:r>
        <m:r>
          <m:t>a</m:t>
        </m:r>
        <m:r>
          <m:t>r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rPr>
            <m:sty m:val="p"/>
          </m:rPr>
          <m:t>,</m:t>
        </m:r>
        <m:r>
          <m:t>a</m:t>
        </m:r>
        <m:r>
          <m:t>v</m:t>
        </m:r>
        <m:r>
          <m:t>g</m:t>
        </m:r>
        <m:r>
          <m:t> </m:t>
        </m:r>
      </m:oMath>
      <w:r>
        <w:t xml:space="preserve">1,251) plus</w:t>
      </w:r>
      <w:r>
        <w:t xml:space="preserve"> </w:t>
      </w:r>
      <m:oMath>
        <m:r>
          <m:t>170</m:t>
        </m:r>
        <m:r>
          <m:t>M</m:t>
        </m:r>
        <m:r>
          <m:t>m</m:t>
        </m:r>
        <m:r>
          <m:t>o</m:t>
        </m:r>
        <m:r>
          <m:t>r</m:t>
        </m:r>
        <m:r>
          <m:t>e</m:t>
        </m:r>
        <m:r>
          <m:t>p</m:t>
        </m:r>
        <m:r>
          <m:t>o</m:t>
        </m:r>
        <m:r>
          <m:t>s</m:t>
        </m:r>
        <m:r>
          <m:t>t</m:t>
        </m:r>
        <m:r>
          <m:rPr>
            <m:sty m:val="p"/>
          </m:rPr>
          <m:t>−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t>a</m:t>
        </m:r>
        <m:r>
          <m:t>t</m:t>
        </m:r>
        <m:r>
          <m:t> </m:t>
        </m:r>
      </m:oMath>
      <w:r>
        <w:rPr>
          <w:b/>
          <w:bCs/>
        </w:rPr>
        <w:t xml:space="preserve">1,040.</w:t>
      </w:r>
      <w:r>
        <w:t xml:space="preserve"> </w:t>
      </w:r>
      <w:r>
        <w:t xml:space="preserve">A fresh</w:t>
      </w:r>
      <w:r>
        <w:t xml:space="preserve"> </w:t>
      </w:r>
      <w:r>
        <w:rPr>
          <w:b/>
          <w:bCs/>
        </w:rPr>
        <w:t xml:space="preserve">$1.5B authorization</w:t>
      </w:r>
      <w:r>
        <w:t xml:space="preserve"> </w:t>
      </w:r>
      <w:r>
        <w:t xml:space="preserve">is in place.</w:t>
      </w:r>
    </w:p>
    <w:p>
      <w:pPr>
        <w:pStyle w:val="Compact"/>
        <w:numPr>
          <w:ilvl w:val="0"/>
          <w:numId w:val="1010"/>
        </w:numPr>
      </w:pPr>
      <w:r>
        <w:t xml:space="preserve">CEO called current levels an "opportunistic" time to buy —</w:t>
      </w:r>
      <w:r>
        <w:t xml:space="preserve"> </w:t>
      </w:r>
      <w:r>
        <w:rPr>
          <w:b/>
          <w:bCs/>
        </w:rPr>
        <w:t xml:space="preserve">expect the Q3 buyback figure to be large</w:t>
      </w:r>
      <w:r>
        <w:t xml:space="preserve">, and it's a genuine signal of management's conviction that the sell-off is overdone.</w:t>
      </w:r>
    </w:p>
    <w:p>
      <w:pPr>
        <w:pStyle w:val="Compact"/>
        <w:numPr>
          <w:ilvl w:val="0"/>
          <w:numId w:val="1010"/>
        </w:numPr>
      </w:pPr>
      <w:r>
        <w:t xml:space="preserve">Leverage: **total debt ~</w:t>
      </w:r>
      <m:oMath>
        <m:r>
          <m:t>3.64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5.5</m:t>
        </m:r>
      </m:oMath>
      <w:r>
        <w:t xml:space="preserve">219–272M) and a stockholders'</w:t>
      </w:r>
      <w:r>
        <w:t xml:space="preserve"> </w:t>
      </w:r>
      <w:r>
        <w:rPr>
          <w:i/>
          <w:iCs/>
        </w:rPr>
        <w:t xml:space="preserve">deficit</w:t>
      </w:r>
      <w:r>
        <w:t xml:space="preserve"> </w:t>
      </w:r>
      <w:r>
        <w:t xml:space="preserve">(a function of years of aggressive buybacks, not distress). FCF is robust (~$867M trailing-4-quarter).</w:t>
      </w:r>
    </w:p>
    <w:p>
      <w:r>
        <w:pict>
          <v:rect style="width:0;height:1.5pt" o:hralign="center" o:hrstd="t" o:hr="t"/>
        </w:pict>
      </w:r>
    </w:p>
    <w:bookmarkEnd w:id="16"/>
    <w:bookmarkStart w:id="17" w:name="X2d88b563c941bdcb8ca05516983468f16f6c6e2"/>
    <w:p>
      <w:pPr>
        <w:pStyle w:val="Heading2"/>
      </w:pPr>
      <w:r>
        <w:t xml:space="preserve">7. Bottom line — how to frame the reaction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Numbers:</w:t>
      </w:r>
      <w:r>
        <w:t xml:space="preserve"> </w:t>
      </w:r>
      <w:r>
        <w:t xml:space="preserve">A beat-and-raise is the most likely outcome; the mortgage price tailwind is still in effect and the quarter is seasonally strong. That alone probably isn't enough to move the stock much given how often FICO beats.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The swing factors are qualitative:</w:t>
      </w:r>
    </w:p>
    <w:p>
      <w:pPr>
        <w:pStyle w:val="Compact"/>
        <w:numPr>
          <w:ilvl w:val="1"/>
          <w:numId w:val="1012"/>
        </w:numPr>
      </w:pPr>
      <w:r>
        <w:t xml:space="preserve">✅</w:t>
      </w:r>
      <w:r>
        <w:t xml:space="preserve"> </w:t>
      </w:r>
      <w:r>
        <w:rPr>
          <w:b/>
          <w:bCs/>
        </w:rPr>
        <w:t xml:space="preserve">Bullish triggers:</w:t>
      </w:r>
      <w:r>
        <w:t xml:space="preserve"> </w:t>
      </w:r>
      <w:r>
        <w:t xml:space="preserve">a firm DLP go-live date + FHFA reseller approval; encouraging third-party/GSE-data validation of 10T's predictiveness; another guidance raise; a very large buyback; continued zero measurable VantageScore paid share.</w:t>
      </w:r>
    </w:p>
    <w:p>
      <w:pPr>
        <w:pStyle w:val="Compact"/>
        <w:numPr>
          <w:ilvl w:val="1"/>
          <w:numId w:val="1012"/>
        </w:numPr>
      </w:pPr>
      <w:r>
        <w:t xml:space="preserve">⚠️</w:t>
      </w:r>
      <w:r>
        <w:t xml:space="preserve"> </w:t>
      </w:r>
      <w:r>
        <w:rPr>
          <w:b/>
          <w:bCs/>
        </w:rPr>
        <w:t xml:space="preserve">Bearish triggers:</w:t>
      </w:r>
      <w:r>
        <w:t xml:space="preserve"> </w:t>
      </w:r>
      <w:r>
        <w:t xml:space="preserve">signs that early-adopter lenders are actually running VantageScore in volume; commentary conceding dual-pull "share leakage"; DLP slipping further; any softening in mortgage volume; only reiterating (not raising) guidance.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Valuation context:</w:t>
      </w:r>
      <w:r>
        <w:t xml:space="preserve"> </w:t>
      </w:r>
      <w:r>
        <w:t xml:space="preserve">at ~$1,336 and low-20s x forward EPS, a lot of competitive pessimism is already priced in versus the historical 40x. That asymmetry — cheap multiple, dominant franchise, but a real (if slow-moving) regulatory overhang — is the crux of the debate going in.</w:t>
      </w:r>
    </w:p>
    <w:p>
      <w:pPr>
        <w:pStyle w:val="FirstParagraph"/>
      </w:pPr>
      <w:r>
        <w:rPr>
          <w:b/>
          <w:bCs/>
        </w:rPr>
        <w:t xml:space="preserve">In short:</w:t>
      </w:r>
      <w:r>
        <w:t xml:space="preserve"> </w:t>
      </w:r>
      <w:r>
        <w:t xml:space="preserve">the P&amp;L should look great again, but this print is a referendum on whether the VantageScore threat is real or a ~2%-share sideshow. Focus your attention on the competition Q&amp;A, the DLP timeline, and whether guidance goes up a fourth straight time.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Sources: FICO fiscal Q2 2026 earnings call transcript and press release; FHFA/Fannie Mae/Freddie Mac Credit Score Models Initiative disclosures; National Mortgage News/American Banker (July 1, 2026 GSE 10T data release); Zacks/TradingView consensus estimates; and historical FICO share-price data. Consensus figures and analyst commentary are point-in-time and may shift before the report.</w:t>
      </w:r>
    </w:p>
    <w:p>
      <w:pPr>
        <w:pStyle w:val="BodyText"/>
      </w:pPr>
      <w:r>
        <w:t xml:space="preserve">Want me to pull the exact Street EPS/revenue distribution, model out the mortgage price-vs-volume split, or track the after-hours reaction once results hit?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2026-07-29T01:27:58Z</dcterms:created>
  <dcterms:modified xsi:type="dcterms:W3CDTF">2026-07-29T01:27:58Z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