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fico-earnings-predictions--2026-07-29"/>
    <w:p>
      <w:pPr>
        <w:pStyle w:val="Heading1"/>
      </w:pPr>
      <w:r>
        <w:t xml:space="preserve">FICO Earnings Predictions — 2026-07-29</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FICO</w:t>
            </w:r>
          </w:p>
        </w:tc>
        <w:tc>
          <w:tcPr/>
          <w:p>
            <w:pPr>
              <w:pStyle w:val="Compact"/>
            </w:pPr>
            <w:r>
              <w:t xml:space="preserve">Report</w:t>
            </w:r>
          </w:p>
        </w:tc>
        <w:tc>
          <w:tcPr/>
          <w:p>
            <w:pPr>
              <w:pStyle w:val="Compact"/>
            </w:pPr>
            <w:r>
              <w:t xml:space="preserve">Total Revenue</w:t>
            </w:r>
          </w:p>
        </w:tc>
        <w:tc>
          <w:tcPr/>
          <w:p>
            <w:pPr>
              <w:pStyle w:val="Compact"/>
            </w:pPr>
            <w:r>
              <w:t xml:space="preserve">BEAT</w:t>
            </w:r>
          </w:p>
        </w:tc>
        <w:tc>
          <w:tcPr/>
          <w:p>
            <w:pPr>
              <w:pStyle w:val="Compact"/>
            </w:pPr>
            <w:r>
              <w:t xml:space="preserve">pred ~$698M vs. cons $679.31M</w:t>
            </w:r>
          </w:p>
        </w:tc>
        <w:tc>
          <w:tcPr/>
          <w:p>
            <w:pPr>
              <w:pStyle w:val="Compact"/>
            </w:pPr>
            <w:r>
              <w:t xml:space="preserve">MEDIUM</w:t>
            </w:r>
          </w:p>
        </w:tc>
      </w:tr>
      <w:tr>
        <w:tc>
          <w:tcPr/>
          <w:p>
            <w:pPr>
              <w:pStyle w:val="Compact"/>
            </w:pPr>
            <w:r>
              <w:t xml:space="preserve">FICO</w:t>
            </w:r>
          </w:p>
        </w:tc>
        <w:tc>
          <w:tcPr/>
          <w:p>
            <w:pPr>
              <w:pStyle w:val="Compact"/>
            </w:pPr>
            <w:r>
              <w:t xml:space="preserve">Report</w:t>
            </w:r>
          </w:p>
        </w:tc>
        <w:tc>
          <w:tcPr/>
          <w:p>
            <w:pPr>
              <w:pStyle w:val="Compact"/>
            </w:pPr>
            <w:r>
              <w:t xml:space="preserve">Non-GAAP EPS</w:t>
            </w:r>
          </w:p>
        </w:tc>
        <w:tc>
          <w:tcPr/>
          <w:p>
            <w:pPr>
              <w:pStyle w:val="Compact"/>
            </w:pPr>
            <w:r>
              <w:t xml:space="preserve">BEAT</w:t>
            </w:r>
          </w:p>
        </w:tc>
        <w:tc>
          <w:tcPr/>
          <w:p>
            <w:pPr>
              <w:pStyle w:val="Compact"/>
            </w:pPr>
            <w:r>
              <w:t xml:space="preserve">pred ~$12.55 vs. cons $12.02</w:t>
            </w:r>
          </w:p>
        </w:tc>
        <w:tc>
          <w:tcPr/>
          <w:p>
            <w:pPr>
              <w:pStyle w:val="Compact"/>
            </w:pPr>
            <w:r>
              <w:t xml:space="preserve">MEDIUM</w:t>
            </w:r>
          </w:p>
        </w:tc>
      </w:tr>
      <w:tr>
        <w:tc>
          <w:tcPr/>
          <w:p>
            <w:pPr>
              <w:pStyle w:val="Compact"/>
            </w:pPr>
            <w:r>
              <w:t xml:space="preserve">FICO</w:t>
            </w:r>
          </w:p>
        </w:tc>
        <w:tc>
          <w:tcPr/>
          <w:p>
            <w:pPr>
              <w:pStyle w:val="Compact"/>
            </w:pPr>
            <w:r>
              <w:t xml:space="preserve">Report</w:t>
            </w:r>
          </w:p>
        </w:tc>
        <w:tc>
          <w:tcPr/>
          <w:p>
            <w:pPr>
              <w:pStyle w:val="Compact"/>
            </w:pPr>
            <w:r>
              <w:t xml:space="preserve">Scores Segment Revenue (mortgage-driven)</w:t>
            </w:r>
          </w:p>
        </w:tc>
        <w:tc>
          <w:tcPr/>
          <w:p>
            <w:pPr>
              <w:pStyle w:val="Compact"/>
            </w:pPr>
            <w:r>
              <w:t xml:space="preserve">BEAT</w:t>
            </w:r>
          </w:p>
        </w:tc>
        <w:tc>
          <w:tcPr/>
          <w:p>
            <w:pPr>
              <w:pStyle w:val="Compact"/>
            </w:pPr>
            <w:r>
              <w:t xml:space="preserve">pred ~</w:t>
            </w:r>
            <m:oMath>
              <m:r>
                <m:t>465</m:t>
              </m:r>
              <m:r>
                <m:t>M</m:t>
              </m:r>
              <m:r>
                <m:t>v</m:t>
              </m:r>
              <m:r>
                <m:t>s</m:t>
              </m:r>
              <m:r>
                <m:rPr>
                  <m:sty m:val="p"/>
                </m:rPr>
                <m:t>.</m:t>
              </m:r>
              <m:r>
                <m:t>c</m:t>
              </m:r>
              <m:r>
                <m:t>o</m:t>
              </m:r>
              <m:r>
                <m:t>n</m:t>
              </m:r>
              <m:r>
                <m:t>s</m:t>
              </m:r>
              <m:r>
                <m:t> </m:t>
              </m:r>
            </m:oMath>
            <w:r>
              <w:t xml:space="preserve">440M</w:t>
            </w:r>
          </w:p>
        </w:tc>
        <w:tc>
          <w:tcPr/>
          <w:p>
            <w:pPr>
              <w:pStyle w:val="Compact"/>
            </w:pPr>
            <w:r>
              <w:t xml:space="preserve">LOW</w:t>
            </w:r>
          </w:p>
        </w:tc>
      </w:tr>
      <w:tr>
        <w:tc>
          <w:tcPr/>
          <w:p>
            <w:pPr>
              <w:pStyle w:val="Compact"/>
            </w:pPr>
            <w:r>
              <w:t xml:space="preserve">FICO</w:t>
            </w:r>
          </w:p>
        </w:tc>
        <w:tc>
          <w:tcPr/>
          <w:p>
            <w:pPr>
              <w:pStyle w:val="Compact"/>
            </w:pPr>
            <w:r>
              <w:t xml:space="preserve">Guide</w:t>
            </w:r>
          </w:p>
        </w:tc>
        <w:tc>
          <w:tcPr/>
          <w:p>
            <w:pPr>
              <w:pStyle w:val="Compact"/>
            </w:pPr>
            <w:r>
              <w:t xml:space="preserve">FY2026 Revenue Guidance</w:t>
            </w:r>
          </w:p>
        </w:tc>
        <w:tc>
          <w:tcPr/>
          <w:p>
            <w:pPr>
              <w:pStyle w:val="Compact"/>
            </w:pPr>
            <w:r>
              <w:t xml:space="preserve">BETTER</w:t>
            </w:r>
          </w:p>
        </w:tc>
        <w:tc>
          <w:tcPr/>
          <w:p>
            <w:pPr>
              <w:pStyle w:val="Compact"/>
            </w:pPr>
            <w:r>
              <w:t xml:space="preserve">guide ~$2.52B vs. cons/prior guide $2.45B (FY2026, ending Sep-2026)</w:t>
            </w:r>
          </w:p>
        </w:tc>
        <w:tc>
          <w:tcPr/>
          <w:p>
            <w:pPr>
              <w:pStyle w:val="Compact"/>
            </w:pPr>
            <w:r>
              <w:t xml:space="preserve">MEDIUM</w:t>
            </w:r>
          </w:p>
        </w:tc>
      </w:tr>
      <w:tr>
        <w:tc>
          <w:tcPr/>
          <w:p>
            <w:pPr>
              <w:pStyle w:val="Compact"/>
            </w:pPr>
            <w:r>
              <w:t xml:space="preserve">FICO</w:t>
            </w:r>
          </w:p>
        </w:tc>
        <w:tc>
          <w:tcPr/>
          <w:p>
            <w:pPr>
              <w:pStyle w:val="Compact"/>
            </w:pPr>
            <w:r>
              <w:t xml:space="preserve">Guide</w:t>
            </w:r>
          </w:p>
        </w:tc>
        <w:tc>
          <w:tcPr/>
          <w:p>
            <w:pPr>
              <w:pStyle w:val="Compact"/>
            </w:pPr>
            <w:r>
              <w:t xml:space="preserve">FY2026 Non-GAAP EPS Guidance</w:t>
            </w:r>
          </w:p>
        </w:tc>
        <w:tc>
          <w:tcPr/>
          <w:p>
            <w:pPr>
              <w:pStyle w:val="Compact"/>
            </w:pPr>
            <w:r>
              <w:t xml:space="preserve">BETTER</w:t>
            </w:r>
          </w:p>
        </w:tc>
        <w:tc>
          <w:tcPr/>
          <w:p>
            <w:pPr>
              <w:pStyle w:val="Compact"/>
            </w:pPr>
            <w:r>
              <w:t xml:space="preserve">guide ~$41.50 vs. cons/prior guide $40.45 (FY2026, ending Sep-2026)</w:t>
            </w:r>
          </w:p>
        </w:tc>
        <w:tc>
          <w:tcPr/>
          <w:p>
            <w:pPr>
              <w:pStyle w:val="Compact"/>
            </w:pPr>
            <w:r>
              <w:t xml:space="preserve">MEDIUM</w:t>
            </w:r>
          </w:p>
        </w:tc>
      </w:tr>
      <w:tr>
        <w:tc>
          <w:tcPr/>
          <w:p>
            <w:pPr>
              <w:pStyle w:val="Compact"/>
            </w:pPr>
            <w:r>
              <w:t xml:space="preserve">FICO</w:t>
            </w:r>
          </w:p>
        </w:tc>
        <w:tc>
          <w:tcPr/>
          <w:p>
            <w:pPr>
              <w:pStyle w:val="Compact"/>
            </w:pPr>
            <w:r>
              <w:t xml:space="preserve">Guide</w:t>
            </w:r>
          </w:p>
        </w:tc>
        <w:tc>
          <w:tcPr/>
          <w:p>
            <w:pPr>
              <w:pStyle w:val="Compact"/>
            </w:pPr>
            <w:r>
              <w:t xml:space="preserve">VantageScore Paid Market Share / Competitive Share-Loss Commentary</w:t>
            </w:r>
          </w:p>
        </w:tc>
        <w:tc>
          <w:tcPr/>
          <w:p>
            <w:pPr>
              <w:pStyle w:val="Compact"/>
            </w:pPr>
            <w:r>
              <w:t xml:space="preserve">UNCHANGED</w:t>
            </w:r>
          </w:p>
        </w:tc>
        <w:tc>
          <w:tcPr/>
          <w:p>
            <w:pPr>
              <w:pStyle w:val="Compact"/>
            </w:pPr>
            <w:r>
              <w:t xml:space="preserve">guide ~2% VantageScore share, no incremental FICO share loss vs. prior stated ~2% (FY2026 outlook)</w:t>
            </w:r>
          </w:p>
        </w:tc>
        <w:tc>
          <w:tcPr/>
          <w:p>
            <w:pPr>
              <w:pStyle w:val="Compact"/>
            </w:pPr>
            <w:r>
              <w:t xml:space="preserve">LOW</w:t>
            </w:r>
          </w:p>
        </w:tc>
      </w:tr>
      <w:tr>
        <w:tc>
          <w:tcPr/>
          <w:p>
            <w:pPr>
              <w:pStyle w:val="Compact"/>
            </w:pPr>
            <w:r>
              <w:t xml:space="preserve">FICO</w:t>
            </w:r>
          </w:p>
        </w:tc>
        <w:tc>
          <w:tcPr/>
          <w:p>
            <w:pPr>
              <w:pStyle w:val="Compact"/>
            </w:pPr>
            <w:r>
              <w:t xml:space="preserve">Return</w:t>
            </w:r>
          </w:p>
        </w:tc>
        <w:tc>
          <w:tcPr/>
          <w:p>
            <w:pPr>
              <w:pStyle w:val="Compact"/>
            </w:pPr>
            <w:r>
              <w:t xml:space="preserve">Day-1 residual (stock − beta × S&amp;P 500)</w:t>
            </w:r>
          </w:p>
        </w:tc>
        <w:tc>
          <w:tcPr/>
          <w:p>
            <w:pPr>
              <w:pStyle w:val="Compact"/>
            </w:pPr>
            <w:r>
              <w:t xml:space="preserve">+2.5%</w:t>
            </w:r>
          </w:p>
        </w:tc>
        <w:tc>
          <w:tcPr/>
          <w:p>
            <w:pPr>
              <w:pStyle w:val="Compact"/>
            </w:pPr>
            <w:r>
              <w:t xml:space="preserve">—</w:t>
            </w:r>
          </w:p>
        </w:tc>
        <w:tc>
          <w:tcPr/>
          <w:p>
            <w:pPr>
              <w:pStyle w:val="Compact"/>
            </w:pPr>
            <w:r>
              <w:t xml:space="preserve">MEDIUM</w:t>
            </w:r>
          </w:p>
        </w:tc>
      </w:tr>
      <w:tr>
        <w:tc>
          <w:tcPr/>
          <w:p>
            <w:pPr>
              <w:pStyle w:val="Compact"/>
            </w:pPr>
            <w:r>
              <w:t xml:space="preserve">FICO</w:t>
            </w:r>
          </w:p>
        </w:tc>
        <w:tc>
          <w:tcPr/>
          <w:p>
            <w:pPr>
              <w:pStyle w:val="Compact"/>
            </w:pPr>
            <w:r>
              <w:t xml:space="preserve">Return</w:t>
            </w:r>
          </w:p>
        </w:tc>
        <w:tc>
          <w:tcPr/>
          <w:p>
            <w:pPr>
              <w:pStyle w:val="Compact"/>
            </w:pPr>
            <w:r>
              <w:t xml:space="preserve">5-day cumulative residual</w:t>
            </w:r>
          </w:p>
        </w:tc>
        <w:tc>
          <w:tcPr/>
          <w:p>
            <w:pPr>
              <w:pStyle w:val="Compact"/>
            </w:pPr>
            <w:r>
              <w:t xml:space="preserve">+1.0% (FADE)</w:t>
            </w:r>
          </w:p>
        </w:tc>
        <w:tc>
          <w:tcPr/>
          <w:p>
            <w:pPr>
              <w:pStyle w:val="Compact"/>
            </w:pPr>
            <w:r>
              <w:t xml:space="preserve">A likely beat-and-raise (Scores/mortgage pricing strength, Platform ARR momentum) should drive an initial positive pop, but the raise is expected to be modest relative to the magnitude of Q2's beat and the stock's already-large recovery off April lows, meaning much of the good news is pre-positioned. Out-period math is a headwind: full-year guidance implies a meaningfully lower H2 run-rate than Q2's actual growth, so even with a Q3 beat, analysts may not extrapolate the same growth rate into Q4/FY2027, capping upward EPS revisions. Persistent overhangs — Hawley/FTC scrutiny, FHFA/GSE timeline uncertainty on 10T adoption, and dual-pull 'gaming' dilution risk — provide recurring headline catalysts for profit-taking within the week, causing the initial pop to partially fade rather than fully follow through.</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2026-07-29T01:36:23Z</dcterms:created>
  <dcterms:modified xsi:type="dcterms:W3CDTF">2026-07-29T01:36:23Z</dcterms:modified>
</cp:coreProperties>
</file>

<file path=docProps/custom.xml><?xml version="1.0" encoding="utf-8"?>
<Properties xmlns="http://schemas.openxmlformats.org/officeDocument/2006/custom-properties" xmlns:vt="http://schemas.openxmlformats.org/officeDocument/2006/docPropsVTypes"/>
</file>