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let me check the most recent sell-side price target moves and any additional details ahead of tomorrow's print.# FICO (Fair Isaac Corporation) — Q3 FY2026 Earnings Preview</w:t>
      </w:r>
      <w:r>
        <w:t xml:space="preserve"> </w:t>
      </w:r>
      <w:r>
        <w:rPr>
          <w:b/>
          <w:bCs/>
        </w:rPr>
        <w:t xml:space="preserve">Reports: Wednesday, July 29, 2026 (fiscal Q3 ended June 30, 2026)</w:t>
      </w:r>
    </w:p>
    <w:p>
      <w:r>
        <w:pict>
          <v:rect style="width:0;height:1.5pt" o:hralign="center" o:hrstd="t" o:hr="t"/>
        </w:pict>
      </w:r>
    </w:p>
    <w:bookmarkStart w:id="9" w:name="Xcebac15664bf3ce1757679dd93729ba3a816fbc"/>
    <w:p>
      <w:pPr>
        <w:pStyle w:val="Heading2"/>
      </w:pPr>
      <w:r>
        <w:t xml:space="preserve">1. Snapshot Into the Print</w:t>
      </w:r>
    </w:p>
    <w:p>
      <w:pPr>
        <w:pStyle w:val="FirstParagraph"/>
      </w:pPr>
      <w:r>
        <w:t xml:space="preserve">FICO has been one of the more turbulent large-cap software/data names of 2026. The stock started the year near $1,650, cratered to roughly</w:t>
      </w:r>
      <w:r>
        <w:t xml:space="preserve"> </w:t>
      </w:r>
      <m:oMath>
        <m:r>
          <m:t>970</m:t>
        </m:r>
        <m:r>
          <m:rPr>
            <m:sty m:val="p"/>
          </m:rPr>
          <m:t>−</m:t>
        </m:r>
      </m:oMath>
      <w:r>
        <w:t xml:space="preserve">1,000 in April amid a regulatory shock, and has since clawed back to the</w:t>
      </w:r>
      <w:r>
        <w:t xml:space="preserve"> </w:t>
      </w:r>
      <m:oMath>
        <m:r>
          <m:t>1</m:t>
        </m:r>
        <m:r>
          <m:rPr>
            <m:sty m:val="p"/>
          </m:rPr>
          <m:t>,</m:t>
        </m:r>
        <m:r>
          <m:t>280</m:t>
        </m:r>
        <m:r>
          <m:rPr>
            <m:sty m:val="p"/>
          </m:rPr>
          <m:t>−</m:t>
        </m:r>
      </m:oMath>
      <w:r>
        <w:t xml:space="preserve">1,340 range heading into tomorrow's report — a 52-week range of</w:t>
      </w:r>
      <w:r>
        <w:t xml:space="preserve"> </w:t>
      </w:r>
      <w:r>
        <w:rPr>
          <w:b/>
          <w:bCs/>
        </w:rPr>
        <w:t xml:space="preserve">$870.01 to $1,998.01</w:t>
      </w:r>
      <w:r>
        <w:t xml:space="preserve">, reflecting significant volatility in the stock over the past year.</w:t>
      </w:r>
    </w:p>
    <w:p>
      <w:pPr>
        <w:pStyle w:val="BodyText"/>
      </w:pPr>
      <w:r>
        <w:t xml:space="preserve">Wall Street's setup for tomorrow: the Zacks Consensus Estimate for third-quarter 2026 revenues is pegged at $679.31 million, suggesting an increase of 26.64% from the reported figure in the year-ago quarter, while the consensus mark for third-quarter 2026 earnings is pegged at $12.02 per share, down by 0.25% over the past 30 days, while indicating 40.26% year-over-year growth. FICO has a strong beat history heading in — the company's earnings beat the Zacks Consensus Estimate in each of the trailing four quarters, delivering an average surprise of 8.78%.</w:t>
      </w:r>
    </w:p>
    <w:p>
      <w:pPr>
        <w:pStyle w:val="BodyText"/>
      </w:pPr>
      <w:r>
        <w:t xml:space="preserve">Sell-side sentiment is split but broadly constructive: as of a few weeks ago the consensus view on FICO stock remained cautiously optimistic, with an overall "Moderate Buy" rating, with 11 analysts at "Strong Buy," three at "Moderate Buy," five at "Hold," and one at "Strong Sell", and an average price target of $1,524.63, implying meaningful upside from recent levels. Price-target action has been a mixed bag lately: UBS raised its target to $1,270 (Neutral), Clear Street raised to $1,639, and Raymond James lifted its target to $1,940 from $1,800, while JPMorgan cut its target to $1,225 from $1,325 — underscoring the genuine debate about how much of the regulatory/competitive risk is already priced in.</w:t>
      </w:r>
    </w:p>
    <w:bookmarkEnd w:id="9"/>
    <w:bookmarkStart w:id="10" w:name="X4a9a3afcf1da053284baf03bec5dde1a6c22982"/>
    <w:p>
      <w:pPr>
        <w:pStyle w:val="Heading2"/>
      </w:pPr>
      <w:r>
        <w:t xml:space="preserve">2. Recap: A Strong Q2 That Set a High Bar</w:t>
      </w:r>
    </w:p>
    <w:p>
      <w:pPr>
        <w:pStyle w:val="FirstParagraph"/>
      </w:pPr>
      <w:r>
        <w:t xml:space="preserve">Going into this print, it's worth remembering just how strong the last quarter was. In fiscal Q2 (ended March 31, 2026), FICO reported revenue of $692 million, up 39% over last year, GAAP EPS of $11.14 (up 69%) and non-GAAP EPS of $12.50 (up 60%), with free cash flow of $214 million and a non-GAAP operating margin of 65% for the quarter compared with 58% in the same quarter last year — 712 basis points of expansion. Scores segment revenue grew 60% (B2B up 72%, driven by higher mortgage-score pricing and higher mortgage origination volumes), while Software grew 7%, with platform revenue up 54% offsetting a 12% decline in non-platform revenue.</w:t>
      </w:r>
    </w:p>
    <w:p>
      <w:pPr>
        <w:pStyle w:val="BodyText"/>
      </w:pPr>
      <w:r>
        <w:t xml:space="preserve">Off the back of that quarter, management raised full-year FY2026 guidance to $2.45 billion in revenue,</w:t>
      </w:r>
      <w:r>
        <w:t xml:space="preserve"> </w:t>
      </w:r>
      <m:oMath>
        <m:r>
          <m:t>825</m:t>
        </m:r>
        <m:r>
          <m:t>m</m:t>
        </m:r>
        <m:r>
          <m:t>i</m:t>
        </m:r>
        <m:r>
          <m:t>l</m:t>
        </m:r>
        <m:r>
          <m:t>l</m:t>
        </m:r>
        <m:r>
          <m:t>i</m:t>
        </m:r>
        <m:r>
          <m:t>o</m:t>
        </m:r>
        <m:r>
          <m:t>n</m:t>
        </m:r>
        <m:r>
          <m:t>G</m:t>
        </m:r>
        <m:r>
          <m:t>A</m:t>
        </m:r>
        <m:r>
          <m:t>A</m:t>
        </m:r>
        <m:r>
          <m:t>P</m:t>
        </m:r>
        <m:r>
          <m:t>n</m:t>
        </m:r>
        <m:r>
          <m:t>e</m:t>
        </m:r>
        <m:r>
          <m:t>t</m:t>
        </m:r>
        <m:r>
          <m:t>i</m:t>
        </m:r>
        <m:r>
          <m:t>n</m:t>
        </m:r>
        <m:r>
          <m:t>c</m:t>
        </m:r>
        <m:r>
          <m:t>o</m:t>
        </m:r>
        <m:r>
          <m:t>m</m:t>
        </m:r>
        <m:r>
          <m:t>e</m:t>
        </m:r>
        <m:r>
          <m:rPr>
            <m:sty m:val="p"/>
          </m:rPr>
          <m:t>(</m:t>
        </m:r>
      </m:oMath>
      <w:r>
        <w:t xml:space="preserve">35.60 EPS) and</w:t>
      </w:r>
      <w:r>
        <w:t xml:space="preserve"> </w:t>
      </w:r>
      <m:oMath>
        <m:r>
          <m:t>946</m:t>
        </m:r>
        <m:r>
          <m:t>m</m:t>
        </m:r>
        <m:r>
          <m:t>i</m:t>
        </m:r>
        <m:r>
          <m:t>l</m:t>
        </m:r>
        <m:r>
          <m:t>l</m:t>
        </m:r>
        <m:r>
          <m:t>i</m:t>
        </m:r>
        <m:r>
          <m:t>o</m:t>
        </m:r>
        <m:r>
          <m:t>n</m:t>
        </m:r>
        <m:r>
          <m:t>n</m:t>
        </m:r>
        <m:r>
          <m:t>o</m:t>
        </m:r>
        <m:r>
          <m:t>n</m:t>
        </m:r>
        <m:r>
          <m:rPr>
            <m:sty m:val="p"/>
          </m:rPr>
          <m:t>−</m:t>
        </m:r>
        <m:r>
          <m:t>G</m:t>
        </m:r>
        <m:r>
          <m:t>A</m:t>
        </m:r>
        <m:r>
          <m:t>A</m:t>
        </m:r>
        <m:r>
          <m:t>P</m:t>
        </m:r>
        <m:r>
          <m:t>n</m:t>
        </m:r>
        <m:r>
          <m:t>e</m:t>
        </m:r>
        <m:r>
          <m:t>t</m:t>
        </m:r>
        <m:r>
          <m:t>i</m:t>
        </m:r>
        <m:r>
          <m:t>n</m:t>
        </m:r>
        <m:r>
          <m:t>c</m:t>
        </m:r>
        <m:r>
          <m:t>o</m:t>
        </m:r>
        <m:r>
          <m:t>m</m:t>
        </m:r>
        <m:r>
          <m:t>e</m:t>
        </m:r>
        <m:r>
          <m:rPr>
            <m:sty m:val="p"/>
          </m:rPr>
          <m:t>(</m:t>
        </m:r>
      </m:oMath>
      <w:r>
        <w:t xml:space="preserve">40.45 non-GAAP EPS) — up from prior guidance of $2.35 billion revenue and $38.17 non-GAAP EPS. That raise is the benchmark investors will measure tomorrow's results and any further guidance revision against. With first-half non-GAAP EPS already at $19.80 and first-half revenue at roughly $1.20 billion, the implied second-half guidance bar is meaningfully lower than the growth rates just posted in Q2 — conservatism that has historically left room for upside surprises.</w:t>
      </w:r>
    </w:p>
    <w:bookmarkEnd w:id="10"/>
    <w:bookmarkStart w:id="11" w:name="Xa8910ca60739cbbfb035ad5b95ed5156d926dcc"/>
    <w:p>
      <w:pPr>
        <w:pStyle w:val="Heading2"/>
      </w:pPr>
      <w:r>
        <w:t xml:space="preserve">3. The Central Story: Scores Pricing War, FHFA Policy Shift, and Political Scrutiny</w:t>
      </w:r>
    </w:p>
    <w:p>
      <w:pPr>
        <w:pStyle w:val="FirstParagraph"/>
      </w:pPr>
      <w:r>
        <w:t xml:space="preserve">This is arguably the most important dynamic for the stock right now, and it's the reason shares have swung by 50%+ intra-year.</w:t>
      </w:r>
    </w:p>
    <w:p>
      <w:pPr>
        <w:pStyle w:val="BodyText"/>
      </w:pPr>
      <w:r>
        <w:rPr>
          <w:b/>
          <w:bCs/>
        </w:rPr>
        <w:t xml:space="preserve">What happened:</w:t>
      </w:r>
      <w:r>
        <w:t xml:space="preserve"> </w:t>
      </w:r>
      <w:r>
        <w:t xml:space="preserve">The Federal Housing Finance Agency (FHFA) moved to end FICO's historical exclusivity in the conforming mortgage channel by clearing the way for VantageScore 4.0 alongside Classic FICO. Fair Isaac (FICO) shares tumbled by 6.42% on April 22, 2026 following a landmark announcement from federal housing agencies opening the door to VantageScore competition. FICO stock had already fallen roughly 51% from its peak, bottoming out on April 10, 2026, right as the FHFA's push for VantageScore competition intensified.</w:t>
      </w:r>
    </w:p>
    <w:p>
      <w:pPr>
        <w:pStyle w:val="BodyText"/>
      </w:pPr>
      <w:r>
        <w:rPr>
          <w:b/>
          <w:bCs/>
        </w:rPr>
        <w:t xml:space="preserve">FICO's response:</w:t>
      </w:r>
      <w:r>
        <w:t xml:space="preserve"> </w:t>
      </w:r>
      <w:r>
        <w:t xml:space="preserve">rather than concede price, management moved to close the gap with its own new-generation score. FICO cut its 10T mortgage score price from $4.95 to</w:t>
      </w:r>
      <w:r>
        <w:t xml:space="preserve"> </w:t>
      </w:r>
      <w:r>
        <w:t xml:space="preserve">$0.99 in April, matching VantageScore's price point, betting that FICO Score 10T's superior predictiveness (management cites qualifying "5% more borrowers" and a more complete default/prepayment risk picture, given VantageScore's dataset only extends to 2013) will keep lenders on the FICO ecosystem even as the upfront cost falls. On the Q2 call, CEO Will Lansing was explicit that this is a multi-year shift in monetization philosophy — moving from an upfront per-score charge toward a "performance model" ($</w:t>
      </w:r>
      <w:r>
        <w:t xml:space="preserve">0.99 plus a $65 funding fee) that spreads FICO's IP monetization across more of the mortgage value chain, and that the company views itself as "revenue neutral" between the two pricing structures.</w:t>
      </w:r>
    </w:p>
    <w:p>
      <w:pPr>
        <w:pStyle w:val="BodyText"/>
      </w:pPr>
      <w:r>
        <w:rPr>
          <w:b/>
          <w:bCs/>
        </w:rPr>
        <w:t xml:space="preserve">Political overhang:</w:t>
      </w:r>
      <w:r>
        <w:t xml:space="preserve"> </w:t>
      </w:r>
      <w:r>
        <w:t xml:space="preserve">the pricing dispute has drawn direct scrutiny from Washington. Senator Josh Hawley (R-Mo.) opened a formal investigation into FICO's pricing practices and urged the FTC to investigate the company for anticompetitive conduct, citing a multi-fold increase in FICO's wholesale per-score royalty over five years. This adds a headline-risk dimension that could resurface on the call or in Q&amp;A regardless of the quarter's actual results.</w:t>
      </w:r>
    </w:p>
    <w:p>
      <w:pPr>
        <w:pStyle w:val="BodyText"/>
      </w:pPr>
      <w:r>
        <w:rPr>
          <w:b/>
          <w:bCs/>
        </w:rPr>
        <w:t xml:space="preserve">Market-share reality check (per management):</w:t>
      </w:r>
      <w:r>
        <w:t xml:space="preserve"> </w:t>
      </w:r>
      <w:r>
        <w:t xml:space="preserve">Despite the noise, FICO's own numbers so far show limited actual share loss. On the Q2 call, when pressed, CEO Lansing estimated VantageScore's realistic paid market share at roughly "2%," argued the nonconforming mortgage and securitization markets remain essentially all-FICO, and reiterated that guidance "does not anticipate share loss competition in any vertical." Investors should listen closely tomorrow for whether that stance holds, especially with the FHFA/GSEs having released more than a decade of loan-level performance data on July 1, an event the market read as constructive for FICO — the stock closed up 5.32% at $1,270.83 the following session, in what looked like validation that the promised 10T dataset was finally moving toward release. That said, sentiment remains fragile: shares fell 5.4% on July 14 amid renewed concern over competitive dynamics, showing the market is still trading headline-to-headline on this issue.</w:t>
      </w:r>
    </w:p>
    <w:p>
      <w:pPr>
        <w:pStyle w:val="BodyText"/>
      </w:pPr>
      <w:r>
        <w:rPr>
          <w:b/>
          <w:bCs/>
        </w:rPr>
        <w:t xml:space="preserve">Key operational items to track on the call:</w:t>
      </w:r>
    </w:p>
    <w:p>
      <w:pPr>
        <w:pStyle w:val="Compact"/>
        <w:numPr>
          <w:ilvl w:val="0"/>
          <w:numId w:val="1001"/>
        </w:numPr>
      </w:pPr>
      <w:r>
        <w:t xml:space="preserve">Status of the</w:t>
      </w:r>
      <w:r>
        <w:t xml:space="preserve"> </w:t>
      </w:r>
      <w:r>
        <w:rPr>
          <w:b/>
          <w:bCs/>
        </w:rPr>
        <w:t xml:space="preserve">Direct License Program (DLP)</w:t>
      </w:r>
      <w:r>
        <w:t xml:space="preserve"> </w:t>
      </w:r>
      <w:r>
        <w:t xml:space="preserve">for FICO 10T — as of Q2, three of the five largest mortgage resellers had signed on, with the remaining two "very close" pending FHFA sign-off on reseller score calculation.</w:t>
      </w:r>
    </w:p>
    <w:p>
      <w:pPr>
        <w:pStyle w:val="Compact"/>
        <w:numPr>
          <w:ilvl w:val="0"/>
          <w:numId w:val="1001"/>
        </w:numPr>
      </w:pPr>
      <w:r>
        <w:t xml:space="preserve">Growth of the</w:t>
      </w:r>
      <w:r>
        <w:t xml:space="preserve"> </w:t>
      </w:r>
      <w:r>
        <w:rPr>
          <w:b/>
          <w:bCs/>
        </w:rPr>
        <w:t xml:space="preserve">Early Adopter Program</w:t>
      </w:r>
      <w:r>
        <w:t xml:space="preserve"> </w:t>
      </w:r>
      <w:r>
        <w:t xml:space="preserve">(55 lenders as of Q2, representing over $495 billion in annual serviceable originations).</w:t>
      </w:r>
    </w:p>
    <w:p>
      <w:pPr>
        <w:pStyle w:val="Compact"/>
        <w:numPr>
          <w:ilvl w:val="0"/>
          <w:numId w:val="1001"/>
        </w:numPr>
      </w:pPr>
      <w:r>
        <w:t xml:space="preserve">Any update on</w:t>
      </w:r>
      <w:r>
        <w:t xml:space="preserve"> </w:t>
      </w:r>
      <w:r>
        <w:rPr>
          <w:b/>
          <w:bCs/>
        </w:rPr>
        <w:t xml:space="preserve">FHFA/GSE timing</w:t>
      </w:r>
      <w:r>
        <w:t xml:space="preserve"> </w:t>
      </w:r>
      <w:r>
        <w:t xml:space="preserve">for accepting 10T data broadly, LLPA (loan-level price adjustor) grid treatment of the two scores, and the "gaming"/dual-pull risk Lansing flagged (where lenders may pull both scores, which he characterizes as share dilution but not volume loss for FICO).</w:t>
      </w:r>
    </w:p>
    <w:p>
      <w:pPr>
        <w:pStyle w:val="Compact"/>
        <w:numPr>
          <w:ilvl w:val="0"/>
          <w:numId w:val="1001"/>
        </w:numPr>
      </w:pPr>
      <w:r>
        <w:t xml:space="preserve">Mortgage origination volumes — Q2 mortgage originations revenue was up 127% y/y on a mix of higher unit pricing and stronger-than-expected volumes; whether that volume tailwind persisted into the June quarter (amid mortgage rate moves) is a key swing factor for the Scores beat/miss.</w:t>
      </w:r>
    </w:p>
    <w:bookmarkEnd w:id="11"/>
    <w:bookmarkStart w:id="12" w:name="X6545a07ac1ff783631ad10c3cea2a7a5788de75"/>
    <w:p>
      <w:pPr>
        <w:pStyle w:val="Heading2"/>
      </w:pPr>
      <w:r>
        <w:t xml:space="preserve">4. Software Segment: The Quieter Growth Engine</w:t>
      </w:r>
    </w:p>
    <w:p>
      <w:pPr>
        <w:pStyle w:val="FirstParagraph"/>
      </w:pPr>
      <w:r>
        <w:t xml:space="preserve">While Scores dominates the headlines, the Software/Platform business has been compounding nicely. In Q2, total software ARR was $789 million, up 10% y/y, with platform ARR at $349 million (44% of total ARR) growing 49% y/y, while non-platform ARR declined 8%; blended dollar-based net retention was 109% (platform NRR 136%, non-platform NRR 90%). Management guided that software bookings should be stronger in the second half of the fiscal year than the first, given a healthy pipeline — that ramp is something to verify in tomorrow's results, alongside continued adoption of FICO Platform (over 150 global clients as of Q2) and progress on the agentic-AI positioning management has been emphasizing at events like FICO World (held in Orlando in May).</w:t>
      </w:r>
    </w:p>
    <w:bookmarkEnd w:id="12"/>
    <w:bookmarkStart w:id="13" w:name="Xb99992ca664d95c03e52cf7a128f1d704c0f577"/>
    <w:p>
      <w:pPr>
        <w:pStyle w:val="Heading2"/>
      </w:pPr>
      <w:r>
        <w:t xml:space="preserve">5. Balance Sheet, Capital Return, and Margins</w:t>
      </w:r>
    </w:p>
    <w:p>
      <w:pPr>
        <w:pStyle w:val="FirstParagraph"/>
      </w:pPr>
      <w:r>
        <w:t xml:space="preserve">FICO has been aggressively returning capital even as leverage has grown. In Q2 alone the company repurchased 484,000 shares for $605 million — the single largest quarterly repurchase in dollars in FICO history — and continued buying afterward (an additional $170 million/164,000 shares between April 1 and the April call date), backed by a new $1.5 billion board authorization. This was funded partly by a $1 billion senior notes issuance in March, part of which redeemed $400 million of notes due in May; total debt stood at $3.64 billion at quarter-end with a 5.5% weighted average interest rate. Watch for: updated buyback pace (management called current levels "opportunistic"), interest expense trending modestly higher into the back half of the year, and further non-GAAP margin expansion (65% in Q2 versus 58% a year ago).</w:t>
      </w:r>
    </w:p>
    <w:bookmarkEnd w:id="13"/>
    <w:bookmarkStart w:id="14" w:name="X044f1a933ed3866c3acd8ccaa597a2a9cd36fa7"/>
    <w:p>
      <w:pPr>
        <w:pStyle w:val="Heading2"/>
      </w:pPr>
      <w:r>
        <w:t xml:space="preserve">6. What Could Move the Stock Tomorrow</w:t>
      </w:r>
    </w:p>
    <w:p>
      <w:pPr>
        <w:pStyle w:val="Compact"/>
        <w:numPr>
          <w:ilvl w:val="0"/>
          <w:numId w:val="1002"/>
        </w:numPr>
      </w:pPr>
      <w:r>
        <w:rPr>
          <w:b/>
          <w:bCs/>
        </w:rPr>
        <w:t xml:space="preserve">Beat-and-raise vs. beat-and-hold:</w:t>
      </w:r>
      <w:r>
        <w:t xml:space="preserve"> </w:t>
      </w:r>
      <w:r>
        <w:t xml:space="preserve">Given how conservative FY2026 guidance looks relative to Q2's run-rate, a clean beat on revenue/EPS without a guidance raise could be read as a signal that management is bracing for slower mortgage volumes or accelerated share/pricing pressure in H2.</w:t>
      </w:r>
    </w:p>
    <w:p>
      <w:pPr>
        <w:pStyle w:val="Compact"/>
        <w:numPr>
          <w:ilvl w:val="0"/>
          <w:numId w:val="1002"/>
        </w:numPr>
      </w:pPr>
      <w:r>
        <w:rPr>
          <w:b/>
          <w:bCs/>
        </w:rPr>
        <w:t xml:space="preserve">Mortgage volume commentary</w:t>
      </w:r>
      <w:r>
        <w:t xml:space="preserve">, since Scores (and specifically mortgage originations pricing/volume) has been the single biggest swing factor in results and the primary battleground with VantageScore.</w:t>
      </w:r>
    </w:p>
    <w:p>
      <w:pPr>
        <w:pStyle w:val="Compact"/>
        <w:numPr>
          <w:ilvl w:val="0"/>
          <w:numId w:val="1002"/>
        </w:numPr>
      </w:pPr>
      <w:r>
        <w:rPr>
          <w:b/>
          <w:bCs/>
        </w:rPr>
        <w:t xml:space="preserve">Any explicit update on VantageScore share trends</w:t>
      </w:r>
      <w:r>
        <w:t xml:space="preserve"> </w:t>
      </w:r>
      <w:r>
        <w:t xml:space="preserve">— a repeat of the "no share loss" message would likely be well received; any softening of that language would be a red flag given how sensitive the stock has proven to this narrative.</w:t>
      </w:r>
    </w:p>
    <w:p>
      <w:pPr>
        <w:pStyle w:val="Compact"/>
        <w:numPr>
          <w:ilvl w:val="0"/>
          <w:numId w:val="1002"/>
        </w:numPr>
      </w:pPr>
      <w:r>
        <w:rPr>
          <w:b/>
          <w:bCs/>
        </w:rPr>
        <w:t xml:space="preserve">Progress (or further delay) on the Direct License Program go-live</w:t>
      </w:r>
      <w:r>
        <w:t xml:space="preserve"> </w:t>
      </w:r>
      <w:r>
        <w:t xml:space="preserve">and FHFA data/timeline updates for 10T.</w:t>
      </w:r>
    </w:p>
    <w:p>
      <w:pPr>
        <w:pStyle w:val="Compact"/>
        <w:numPr>
          <w:ilvl w:val="0"/>
          <w:numId w:val="1002"/>
        </w:numPr>
      </w:pPr>
      <w:r>
        <w:rPr>
          <w:b/>
          <w:bCs/>
        </w:rPr>
        <w:t xml:space="preserve">Commentary on the Hawley/FTC scrutiny</w:t>
      </w:r>
      <w:r>
        <w:t xml:space="preserve"> </w:t>
      </w:r>
      <w:r>
        <w:t xml:space="preserve">— any sign of formal regulatory action (versus a senator's letter) would be a incremental negative.</w:t>
      </w:r>
    </w:p>
    <w:p>
      <w:pPr>
        <w:pStyle w:val="Compact"/>
        <w:numPr>
          <w:ilvl w:val="0"/>
          <w:numId w:val="1002"/>
        </w:numPr>
      </w:pPr>
      <w:r>
        <w:rPr>
          <w:b/>
          <w:bCs/>
        </w:rPr>
        <w:t xml:space="preserve">Software bookings acceleration</w:t>
      </w:r>
      <w:r>
        <w:t xml:space="preserve"> </w:t>
      </w:r>
      <w:r>
        <w:t xml:space="preserve">in line with the "stronger second half" guidance, and continued Platform ARR/NRR strength.</w:t>
      </w:r>
    </w:p>
    <w:p>
      <w:pPr>
        <w:pStyle w:val="Compact"/>
        <w:numPr>
          <w:ilvl w:val="0"/>
          <w:numId w:val="1002"/>
        </w:numPr>
      </w:pPr>
      <w:r>
        <w:rPr>
          <w:b/>
          <w:bCs/>
        </w:rPr>
        <w:t xml:space="preserve">Buyback cadence</w:t>
      </w:r>
      <w:r>
        <w:t xml:space="preserve"> </w:t>
      </w:r>
      <w:r>
        <w:t xml:space="preserve">relative to the stock's still-depressed level versus its 2026 highs.</w:t>
      </w:r>
    </w:p>
    <w:bookmarkEnd w:id="14"/>
    <w:bookmarkStart w:id="15" w:name="X7a3bbf556adfc11a6000f5b234b318bdc6ae48e"/>
    <w:p>
      <w:pPr>
        <w:pStyle w:val="Heading2"/>
      </w:pPr>
      <w:r>
        <w:t xml:space="preserve">7. Bottom Line</w:t>
      </w:r>
    </w:p>
    <w:p>
      <w:pPr>
        <w:pStyle w:val="FirstParagraph"/>
      </w:pPr>
      <w:r>
        <w:t xml:space="preserve">FICO enters this print as a business whose fundamentals — Scores segment pricing power, mortgage-driven revenue growth, and a fast-growing Platform software franchise — have remained robust even as its multiple has been hit hard by a genuine, still-unresolved regulatory threat to its historic mortgage-scoring monopoly. The Q2 beat-and-raise was emphatic, consensus is looking for continued ~27% revenue growth and ~40% EPS growth in Q3, and the stock's sharp recent rebound (from sub-$1,000 in April to the $1,300s) suggests the market has grown more comfortable that FICO can defend share via 10T pricing and predictiveness. Tomorrow's report — and especially management's tone on VantageScore competition, the Direct License Program, and Washington scrutiny — will determine whether that renewed confidence is justified or whether the stock's 2026 volatility has further to run.</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2026-07-29T01:36:22Z</dcterms:created>
  <dcterms:modified xsi:type="dcterms:W3CDTF">2026-07-29T01:36:22Z</dcterms:modified>
</cp:coreProperties>
</file>

<file path=docProps/custom.xml><?xml version="1.0" encoding="utf-8"?>
<Properties xmlns="http://schemas.openxmlformats.org/officeDocument/2006/custom-properties" xmlns:vt="http://schemas.openxmlformats.org/officeDocument/2006/docPropsVTypes"/>
</file>