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1" w:name="fico-fiscal-3q26-earnings-preview"/>
    <w:p>
      <w:pPr>
        <w:pStyle w:val="Heading1"/>
      </w:pPr>
      <w:r>
        <w:t xml:space="preserve">FICO Fiscal 3Q26 Earnings Preview</w:t>
      </w:r>
    </w:p>
    <w:p>
      <w:pPr>
        <w:pStyle w:val="BlockText"/>
      </w:pPr>
      <w:r>
        <w:rPr>
          <w:b/>
          <w:bCs/>
        </w:rPr>
        <w:t xml:space="preserve">Timing clarification:</w:t>
      </w:r>
      <w:r>
        <w:t xml:space="preserve"> </w:t>
      </w:r>
      <w:r>
        <w:t xml:space="preserve">FICO is scheduled to report</w:t>
      </w:r>
      <w:r>
        <w:t xml:space="preserve"> </w:t>
      </w:r>
      <w:r>
        <w:rPr>
          <w:b/>
          <w:bCs/>
        </w:rPr>
        <w:t xml:space="preserve">today, July 29, 2026, after the market closes</w:t>
      </w:r>
      <w:r>
        <w:t xml:space="preserve">, not tomorrow. The earnings call begins at</w:t>
      </w:r>
      <w:r>
        <w:t xml:space="preserve"> </w:t>
      </w:r>
      <w:r>
        <w:rPr>
          <w:b/>
          <w:bCs/>
        </w:rPr>
        <w:t xml:space="preserve">5:00 p.m. Eastern Time</w:t>
      </w:r>
      <w:r>
        <w:t xml:space="preserve">.</w:t>
      </w:r>
    </w:p>
    <w:bookmarkStart w:id="9" w:name="executive-view"/>
    <w:p>
      <w:pPr>
        <w:pStyle w:val="Heading2"/>
      </w:pPr>
      <w:r>
        <w:t xml:space="preserve">Executive view</w:t>
      </w:r>
    </w:p>
    <w:p>
      <w:pPr>
        <w:pStyle w:val="FirstParagraph"/>
      </w:pPr>
      <w:r>
        <w:t xml:space="preserve">FICO enters fiscal 3Q26 with unusually strong reported momentum but an unsettled investment debate.</w:t>
      </w:r>
    </w:p>
    <w:p>
      <w:pPr>
        <w:pStyle w:val="BodyText"/>
      </w:pPr>
      <w:r>
        <w:t xml:space="preserve">The near-term financial story is straightforward: higher mortgage-score pricing has transformed Scores growth and expanded margins, while FICO Platform is accelerating within Software. The harder question is how durable those economics are as the mortgage market moves toward FICO 10T, direct licensing and potential competition from VantageScore.</w:t>
      </w:r>
    </w:p>
    <w:p>
      <w:pPr>
        <w:pStyle w:val="BodyText"/>
      </w:pPr>
      <w:r>
        <w:t xml:space="preserve">Accordingly, the stock’s reaction may depend less on a routine earnings beat and more on management’s answers to three questions:</w:t>
      </w:r>
    </w:p>
    <w:p>
      <w:pPr>
        <w:pStyle w:val="Compact"/>
        <w:numPr>
          <w:ilvl w:val="0"/>
          <w:numId w:val="1001"/>
        </w:numPr>
      </w:pPr>
      <w:r>
        <w:rPr>
          <w:b/>
          <w:bCs/>
        </w:rPr>
        <w:t xml:space="preserve">Can mortgage Scores growth remain elevated after the initial pricing step-up?</w:t>
      </w:r>
    </w:p>
    <w:p>
      <w:pPr>
        <w:pStyle w:val="Compact"/>
        <w:numPr>
          <w:ilvl w:val="0"/>
          <w:numId w:val="1001"/>
        </w:numPr>
      </w:pPr>
      <w:r>
        <w:rPr>
          <w:b/>
          <w:bCs/>
        </w:rPr>
        <w:t xml:space="preserve">Is the FICO 10T/direct-licensing rollout progressing, and what does it mean for revenue timing and long-term economics?</w:t>
      </w:r>
    </w:p>
    <w:p>
      <w:pPr>
        <w:pStyle w:val="Compact"/>
        <w:numPr>
          <w:ilvl w:val="0"/>
          <w:numId w:val="1001"/>
        </w:numPr>
      </w:pPr>
      <w:r>
        <w:rPr>
          <w:b/>
          <w:bCs/>
        </w:rPr>
        <w:t xml:space="preserve">Is Platform growth strong enough to offset the shrinking non-platform software base without relying on migrations?</w:t>
      </w:r>
    </w:p>
    <w:p>
      <w:r>
        <w:pict>
          <v:rect style="width:0;height:1.5pt" o:hralign="center" o:hrstd="t" o:hr="t"/>
        </w:pict>
      </w:r>
    </w:p>
    <w:bookmarkEnd w:id="9"/>
    <w:bookmarkStart w:id="10" w:name="X24d9349b18546091ae38cbe57f26f558455d5e6"/>
    <w:p>
      <w:pPr>
        <w:pStyle w:val="Heading2"/>
      </w:pPr>
      <w:r>
        <w:t xml:space="preserve">Starting point: an exceptional fiscal second quarter</w:t>
      </w:r>
    </w:p>
    <w:p>
      <w:pPr>
        <w:pStyle w:val="FirstParagraph"/>
      </w:pPr>
      <w:r>
        <w:t xml:space="preserve">FICO’s March quarter established a demanding comparison for the report:</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Fiscal 2Q26 metric</w:t>
            </w:r>
          </w:p>
        </w:tc>
        <w:tc>
          <w:tcPr/>
          <w:p>
            <w:pPr>
              <w:pStyle w:val="Compact"/>
              <w:jc w:val="right"/>
            </w:pPr>
            <w:r>
              <w:t xml:space="preserve">Result</w:t>
            </w:r>
          </w:p>
        </w:tc>
        <w:tc>
          <w:tcPr/>
          <w:p>
            <w:pPr>
              <w:pStyle w:val="Compact"/>
              <w:jc w:val="right"/>
            </w:pPr>
            <w:r>
              <w:t xml:space="preserve">YoY change</w:t>
            </w:r>
          </w:p>
        </w:tc>
      </w:tr>
      <w:tr>
        <w:tc>
          <w:tcPr/>
          <w:p>
            <w:pPr>
              <w:pStyle w:val="Compact"/>
            </w:pPr>
            <w:r>
              <w:t xml:space="preserve">Revenue</w:t>
            </w:r>
          </w:p>
        </w:tc>
        <w:tc>
          <w:tcPr/>
          <w:p>
            <w:pPr>
              <w:pStyle w:val="Compact"/>
              <w:jc w:val="right"/>
            </w:pPr>
            <w:r>
              <w:rPr>
                <w:b/>
                <w:bCs/>
              </w:rPr>
              <w:t xml:space="preserve">$691.7 million</w:t>
            </w:r>
          </w:p>
        </w:tc>
        <w:tc>
          <w:tcPr/>
          <w:p>
            <w:pPr>
              <w:pStyle w:val="Compact"/>
              <w:jc w:val="right"/>
            </w:pPr>
            <w:r>
              <w:rPr>
                <w:b/>
                <w:bCs/>
              </w:rPr>
              <w:t xml:space="preserve">+39%</w:t>
            </w:r>
          </w:p>
        </w:tc>
      </w:tr>
      <w:tr>
        <w:tc>
          <w:tcPr/>
          <w:p>
            <w:pPr>
              <w:pStyle w:val="Compact"/>
            </w:pPr>
            <w:r>
              <w:t xml:space="preserve">Scores revenue</w:t>
            </w:r>
          </w:p>
        </w:tc>
        <w:tc>
          <w:tcPr/>
          <w:p>
            <w:pPr>
              <w:pStyle w:val="Compact"/>
              <w:jc w:val="right"/>
            </w:pPr>
            <w:r>
              <w:rPr>
                <w:b/>
                <w:bCs/>
              </w:rPr>
              <w:t xml:space="preserve">$475.0 million</w:t>
            </w:r>
          </w:p>
        </w:tc>
        <w:tc>
          <w:tcPr/>
          <w:p>
            <w:pPr>
              <w:pStyle w:val="Compact"/>
              <w:jc w:val="right"/>
            </w:pPr>
            <w:r>
              <w:rPr>
                <w:b/>
                <w:bCs/>
              </w:rPr>
              <w:t xml:space="preserve">+60%</w:t>
            </w:r>
          </w:p>
        </w:tc>
      </w:tr>
      <w:tr>
        <w:tc>
          <w:tcPr/>
          <w:p>
            <w:pPr>
              <w:pStyle w:val="Compact"/>
            </w:pPr>
            <w:r>
              <w:t xml:space="preserve">Software revenue</w:t>
            </w:r>
          </w:p>
        </w:tc>
        <w:tc>
          <w:tcPr/>
          <w:p>
            <w:pPr>
              <w:pStyle w:val="Compact"/>
              <w:jc w:val="right"/>
            </w:pPr>
            <w:r>
              <w:rPr>
                <w:b/>
                <w:bCs/>
              </w:rPr>
              <w:t xml:space="preserve">$216.7 million</w:t>
            </w:r>
          </w:p>
        </w:tc>
        <w:tc>
          <w:tcPr/>
          <w:p>
            <w:pPr>
              <w:pStyle w:val="Compact"/>
              <w:jc w:val="right"/>
            </w:pPr>
            <w:r>
              <w:rPr>
                <w:b/>
                <w:bCs/>
              </w:rPr>
              <w:t xml:space="preserve">+7%</w:t>
            </w:r>
          </w:p>
        </w:tc>
      </w:tr>
      <w:tr>
        <w:tc>
          <w:tcPr/>
          <w:p>
            <w:pPr>
              <w:pStyle w:val="Compact"/>
            </w:pPr>
            <w:r>
              <w:t xml:space="preserve">GAAP EPS</w:t>
            </w:r>
          </w:p>
        </w:tc>
        <w:tc>
          <w:tcPr/>
          <w:p>
            <w:pPr>
              <w:pStyle w:val="Compact"/>
              <w:jc w:val="right"/>
            </w:pPr>
            <w:r>
              <w:rPr>
                <w:b/>
                <w:bCs/>
              </w:rPr>
              <w:t xml:space="preserve">$11.14</w:t>
            </w:r>
          </w:p>
        </w:tc>
        <w:tc>
          <w:tcPr/>
          <w:p>
            <w:pPr>
              <w:pStyle w:val="Compact"/>
              <w:jc w:val="right"/>
            </w:pPr>
            <w:r>
              <w:rPr>
                <w:b/>
                <w:bCs/>
              </w:rPr>
              <w:t xml:space="preserve">+69%</w:t>
            </w:r>
          </w:p>
        </w:tc>
      </w:tr>
      <w:tr>
        <w:tc>
          <w:tcPr/>
          <w:p>
            <w:pPr>
              <w:pStyle w:val="Compact"/>
            </w:pPr>
            <w:r>
              <w:t xml:space="preserve">Non-GAAP EPS</w:t>
            </w:r>
          </w:p>
        </w:tc>
        <w:tc>
          <w:tcPr/>
          <w:p>
            <w:pPr>
              <w:pStyle w:val="Compact"/>
              <w:jc w:val="right"/>
            </w:pPr>
            <w:r>
              <w:rPr>
                <w:b/>
                <w:bCs/>
              </w:rPr>
              <w:t xml:space="preserve">$12.50</w:t>
            </w:r>
          </w:p>
        </w:tc>
        <w:tc>
          <w:tcPr/>
          <w:p>
            <w:pPr>
              <w:pStyle w:val="Compact"/>
              <w:jc w:val="right"/>
            </w:pPr>
            <w:r>
              <w:rPr>
                <w:b/>
                <w:bCs/>
              </w:rPr>
              <w:t xml:space="preserve">+60%</w:t>
            </w:r>
          </w:p>
        </w:tc>
      </w:tr>
      <w:tr>
        <w:tc>
          <w:tcPr/>
          <w:p>
            <w:pPr>
              <w:pStyle w:val="Compact"/>
            </w:pPr>
            <w:r>
              <w:t xml:space="preserve">Free cash flow</w:t>
            </w:r>
          </w:p>
        </w:tc>
        <w:tc>
          <w:tcPr/>
          <w:p>
            <w:pPr>
              <w:pStyle w:val="Compact"/>
              <w:jc w:val="right"/>
            </w:pPr>
            <w:r>
              <w:rPr>
                <w:b/>
                <w:bCs/>
              </w:rPr>
              <w:t xml:space="preserve">$214.3 million</w:t>
            </w:r>
          </w:p>
        </w:tc>
        <w:tc>
          <w:tcPr/>
          <w:p>
            <w:pPr>
              <w:pStyle w:val="Compact"/>
              <w:jc w:val="right"/>
            </w:pPr>
            <w:r>
              <w:rPr>
                <w:b/>
                <w:bCs/>
              </w:rPr>
              <w:t xml:space="preserve">+227%</w:t>
            </w:r>
          </w:p>
        </w:tc>
      </w:tr>
      <w:tr>
        <w:tc>
          <w:tcPr/>
          <w:p>
            <w:pPr>
              <w:pStyle w:val="Compact"/>
            </w:pPr>
            <w:r>
              <w:t xml:space="preserve">Non-GAAP operating margin</w:t>
            </w:r>
          </w:p>
        </w:tc>
        <w:tc>
          <w:tcPr/>
          <w:p>
            <w:pPr>
              <w:pStyle w:val="Compact"/>
              <w:jc w:val="right"/>
            </w:pPr>
            <w:r>
              <w:rPr>
                <w:b/>
                <w:bCs/>
              </w:rPr>
              <w:t xml:space="preserve">65%</w:t>
            </w:r>
          </w:p>
        </w:tc>
        <w:tc>
          <w:tcPr/>
          <w:p>
            <w:pPr>
              <w:pStyle w:val="Compact"/>
              <w:jc w:val="right"/>
            </w:pPr>
            <w:r>
              <w:rPr>
                <w:b/>
                <w:bCs/>
              </w:rPr>
              <w:t xml:space="preserve">+712 bps</w:t>
            </w:r>
          </w:p>
        </w:tc>
      </w:tr>
    </w:tbl>
    <w:p>
      <w:pPr>
        <w:pStyle w:val="BodyText"/>
      </w:pPr>
      <w:r>
        <w:t xml:space="preserve">Mortgage was the principal driver. Mortgage-origination Scores revenue increased</w:t>
      </w:r>
      <w:r>
        <w:t xml:space="preserve"> </w:t>
      </w:r>
      <w:r>
        <w:rPr>
          <w:b/>
          <w:bCs/>
        </w:rPr>
        <w:t xml:space="preserve">127%</w:t>
      </w:r>
      <w:r>
        <w:t xml:space="preserve">, accounting for</w:t>
      </w:r>
      <w:r>
        <w:t xml:space="preserve"> </w:t>
      </w:r>
      <w:r>
        <w:rPr>
          <w:b/>
          <w:bCs/>
        </w:rPr>
        <w:t xml:space="preserve">72% of B2B Scores revenue</w:t>
      </w:r>
      <w:r>
        <w:t xml:space="preserve"> </w:t>
      </w:r>
      <w:r>
        <w:t xml:space="preserve">and</w:t>
      </w:r>
      <w:r>
        <w:t xml:space="preserve"> </w:t>
      </w:r>
      <w:r>
        <w:rPr>
          <w:b/>
          <w:bCs/>
        </w:rPr>
        <w:t xml:space="preserve">63% of total Scores revenue</w:t>
      </w:r>
      <w:r>
        <w:t xml:space="preserve">.</w:t>
      </w:r>
    </w:p>
    <w:p>
      <w:pPr>
        <w:pStyle w:val="BodyText"/>
      </w:pPr>
      <w:r>
        <w:t xml:space="preserve">That concentration is both the attraction and the risk: FICO is converting mortgage-score pricing into extraordinarily high incremental profit, but quarterly results have become increasingly sensitive to mortgage activity, pricing implementation and regulatory developments.</w:t>
      </w:r>
    </w:p>
    <w:p>
      <w:r>
        <w:pict>
          <v:rect style="width:0;height:1.5pt" o:hralign="center" o:hrstd="t" o:hr="t"/>
        </w:pict>
      </w:r>
    </w:p>
    <w:bookmarkEnd w:id="10"/>
    <w:bookmarkStart w:id="11" w:name="what-current-guidance-implies"/>
    <w:p>
      <w:pPr>
        <w:pStyle w:val="Heading2"/>
      </w:pPr>
      <w:r>
        <w:t xml:space="preserve">What current guidance implies</w:t>
      </w:r>
    </w:p>
    <w:p>
      <w:pPr>
        <w:pStyle w:val="FirstParagraph"/>
      </w:pPr>
      <w:r>
        <w:t xml:space="preserve">After fiscal 2Q26, management raised fiscal 2026 guidance to:</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Metric</w:t>
            </w:r>
          </w:p>
        </w:tc>
        <w:tc>
          <w:tcPr/>
          <w:p>
            <w:pPr>
              <w:pStyle w:val="Compact"/>
              <w:jc w:val="right"/>
            </w:pPr>
            <w:r>
              <w:t xml:space="preserve">FY26 guidance</w:t>
            </w:r>
          </w:p>
        </w:tc>
        <w:tc>
          <w:tcPr/>
          <w:p>
            <w:pPr>
              <w:pStyle w:val="Compact"/>
              <w:jc w:val="right"/>
            </w:pPr>
            <w:r>
              <w:t xml:space="preserve">Implied growth</w:t>
            </w:r>
          </w:p>
        </w:tc>
      </w:tr>
      <w:tr>
        <w:tc>
          <w:tcPr/>
          <w:p>
            <w:pPr>
              <w:pStyle w:val="Compact"/>
            </w:pPr>
            <w:r>
              <w:t xml:space="preserve">Revenue</w:t>
            </w:r>
          </w:p>
        </w:tc>
        <w:tc>
          <w:tcPr/>
          <w:p>
            <w:pPr>
              <w:pStyle w:val="Compact"/>
              <w:jc w:val="right"/>
            </w:pPr>
            <w:r>
              <w:rPr>
                <w:b/>
                <w:bCs/>
              </w:rPr>
              <w:t xml:space="preserve">$2.45 billion</w:t>
            </w:r>
          </w:p>
        </w:tc>
        <w:tc>
          <w:tcPr/>
          <w:p>
            <w:pPr>
              <w:pStyle w:val="Compact"/>
              <w:jc w:val="right"/>
            </w:pPr>
            <w:r>
              <w:rPr>
                <w:b/>
                <w:bCs/>
              </w:rPr>
              <w:t xml:space="preserve">+23%</w:t>
            </w:r>
          </w:p>
        </w:tc>
      </w:tr>
      <w:tr>
        <w:tc>
          <w:tcPr/>
          <w:p>
            <w:pPr>
              <w:pStyle w:val="Compact"/>
            </w:pPr>
            <w:r>
              <w:t xml:space="preserve">GAAP net income</w:t>
            </w:r>
          </w:p>
        </w:tc>
        <w:tc>
          <w:tcPr/>
          <w:p>
            <w:pPr>
              <w:pStyle w:val="Compact"/>
              <w:jc w:val="right"/>
            </w:pPr>
            <w:r>
              <w:rPr>
                <w:b/>
                <w:bCs/>
              </w:rPr>
              <w:t xml:space="preserve">$825 million</w:t>
            </w:r>
          </w:p>
        </w:tc>
        <w:tc>
          <w:tcPr/>
          <w:p>
            <w:pPr>
              <w:pStyle w:val="Compact"/>
              <w:jc w:val="right"/>
            </w:pPr>
            <w:r>
              <w:t xml:space="preserve">—</w:t>
            </w:r>
          </w:p>
        </w:tc>
      </w:tr>
      <w:tr>
        <w:tc>
          <w:tcPr/>
          <w:p>
            <w:pPr>
              <w:pStyle w:val="Compact"/>
            </w:pPr>
            <w:r>
              <w:t xml:space="preserve">GAAP EPS</w:t>
            </w:r>
          </w:p>
        </w:tc>
        <w:tc>
          <w:tcPr/>
          <w:p>
            <w:pPr>
              <w:pStyle w:val="Compact"/>
              <w:jc w:val="right"/>
            </w:pPr>
            <w:r>
              <w:rPr>
                <w:b/>
                <w:bCs/>
              </w:rPr>
              <w:t xml:space="preserve">$35.60</w:t>
            </w:r>
          </w:p>
        </w:tc>
        <w:tc>
          <w:tcPr/>
          <w:p>
            <w:pPr>
              <w:pStyle w:val="Compact"/>
              <w:jc w:val="right"/>
            </w:pPr>
            <w:r>
              <w:rPr>
                <w:b/>
                <w:bCs/>
              </w:rPr>
              <w:t xml:space="preserve">+34%</w:t>
            </w:r>
          </w:p>
        </w:tc>
      </w:tr>
      <w:tr>
        <w:tc>
          <w:tcPr/>
          <w:p>
            <w:pPr>
              <w:pStyle w:val="Compact"/>
            </w:pPr>
            <w:r>
              <w:t xml:space="preserve">Non-GAAP net income</w:t>
            </w:r>
          </w:p>
        </w:tc>
        <w:tc>
          <w:tcPr/>
          <w:p>
            <w:pPr>
              <w:pStyle w:val="Compact"/>
              <w:jc w:val="right"/>
            </w:pPr>
            <w:r>
              <w:rPr>
                <w:b/>
                <w:bCs/>
              </w:rPr>
              <w:t xml:space="preserve">$946 million</w:t>
            </w:r>
          </w:p>
        </w:tc>
        <w:tc>
          <w:tcPr/>
          <w:p>
            <w:pPr>
              <w:pStyle w:val="Compact"/>
              <w:jc w:val="right"/>
            </w:pPr>
            <w:r>
              <w:t xml:space="preserve">—</w:t>
            </w:r>
          </w:p>
        </w:tc>
      </w:tr>
      <w:tr>
        <w:tc>
          <w:tcPr/>
          <w:p>
            <w:pPr>
              <w:pStyle w:val="Compact"/>
            </w:pPr>
            <w:r>
              <w:t xml:space="preserve">Non-GAAP EPS</w:t>
            </w:r>
          </w:p>
        </w:tc>
        <w:tc>
          <w:tcPr/>
          <w:p>
            <w:pPr>
              <w:pStyle w:val="Compact"/>
              <w:jc w:val="right"/>
            </w:pPr>
            <w:r>
              <w:rPr>
                <w:b/>
                <w:bCs/>
              </w:rPr>
              <w:t xml:space="preserve">$40.45</w:t>
            </w:r>
          </w:p>
        </w:tc>
        <w:tc>
          <w:tcPr/>
          <w:p>
            <w:pPr>
              <w:pStyle w:val="Compact"/>
              <w:jc w:val="right"/>
            </w:pPr>
            <w:r>
              <w:rPr>
                <w:b/>
                <w:bCs/>
              </w:rPr>
              <w:t xml:space="preserve">+35%</w:t>
            </w:r>
          </w:p>
        </w:tc>
      </w:tr>
    </w:tbl>
    <w:p>
      <w:pPr>
        <w:pStyle w:val="BodyText"/>
      </w:pPr>
      <w:r>
        <w:t xml:space="preserve">FICO generated</w:t>
      </w:r>
      <w:r>
        <w:t xml:space="preserve"> </w:t>
      </w:r>
      <m:oMath>
        <m:r>
          <m:t>1.204</m:t>
        </m:r>
        <m:r>
          <m:t>b</m:t>
        </m:r>
        <m:r>
          <m:t>i</m:t>
        </m:r>
        <m:r>
          <m:t>l</m:t>
        </m:r>
        <m:r>
          <m:t>l</m:t>
        </m:r>
        <m:r>
          <m:t>i</m:t>
        </m:r>
        <m:r>
          <m:t>o</m:t>
        </m:r>
        <m:r>
          <m:t>n</m:t>
        </m:r>
        <m:r>
          <m:t>o</m:t>
        </m:r>
        <m:r>
          <m:t>f</m:t>
        </m:r>
        <m:r>
          <m:t>r</m:t>
        </m:r>
        <m:r>
          <m:t>e</m:t>
        </m:r>
        <m:r>
          <m:t>v</m:t>
        </m:r>
        <m:r>
          <m:t>e</m:t>
        </m:r>
        <m:r>
          <m:t>n</m:t>
        </m:r>
        <m:r>
          <m:t>u</m:t>
        </m:r>
        <m:r>
          <m:t>e</m:t>
        </m:r>
        <m:r>
          <m:rPr>
            <m:sty m:val="p"/>
          </m:rPr>
          <m:t>*</m:t>
        </m:r>
        <m:r>
          <m:rPr>
            <m:sty m:val="p"/>
          </m:rPr>
          <m:t>*</m:t>
        </m:r>
        <m:r>
          <m:t>a</m:t>
        </m:r>
        <m:r>
          <m:t>n</m:t>
        </m:r>
        <m:r>
          <m:t>d</m:t>
        </m:r>
        <m:r>
          <m:rPr>
            <m:sty m:val="p"/>
          </m:rPr>
          <m:t>*</m:t>
        </m:r>
        <m:r>
          <m:rPr>
            <m:sty m:val="p"/>
          </m:rPr>
          <m:t>*</m:t>
        </m:r>
      </m:oMath>
      <w:r>
        <w:rPr>
          <w:b/>
          <w:bCs/>
        </w:rPr>
        <w:t xml:space="preserve">19.80 of non-GAAP EPS</w:t>
      </w:r>
      <w:r>
        <w:t xml:space="preserve"> </w:t>
      </w:r>
      <w:r>
        <w:t xml:space="preserve">in the first half. The guidance therefore requires approximately:</w:t>
      </w:r>
    </w:p>
    <w:p>
      <w:pPr>
        <w:pStyle w:val="Compact"/>
        <w:numPr>
          <w:ilvl w:val="0"/>
          <w:numId w:val="1002"/>
        </w:numPr>
      </w:pPr>
      <m:oMath>
        <m:r>
          <m:t>1.246</m:t>
        </m:r>
        <m:r>
          <m:t>b</m:t>
        </m:r>
        <m:r>
          <m:t>i</m:t>
        </m:r>
        <m:r>
          <m:t>l</m:t>
        </m:r>
        <m:r>
          <m:t>l</m:t>
        </m:r>
        <m:r>
          <m:t>i</m:t>
        </m:r>
        <m:r>
          <m:t>o</m:t>
        </m:r>
        <m:r>
          <m:t>n</m:t>
        </m:r>
        <m:r>
          <m:t>o</m:t>
        </m:r>
        <m:r>
          <m:t>f</m:t>
        </m:r>
        <m:r>
          <m:t>s</m:t>
        </m:r>
        <m:r>
          <m:t>e</m:t>
        </m:r>
        <m:r>
          <m:t>c</m:t>
        </m:r>
        <m:r>
          <m:t>o</m:t>
        </m:r>
        <m:r>
          <m:t>n</m:t>
        </m:r>
        <m:r>
          <m:t>d</m:t>
        </m:r>
        <m:r>
          <m:rPr>
            <m:sty m:val="p"/>
          </m:rPr>
          <m:t>−</m:t>
        </m:r>
        <m:r>
          <m:t>h</m:t>
        </m:r>
        <m:r>
          <m:t>a</m:t>
        </m:r>
        <m:r>
          <m:t>l</m:t>
        </m:r>
        <m:r>
          <m:t>f</m:t>
        </m:r>
        <m:r>
          <m:t>r</m:t>
        </m:r>
        <m:r>
          <m:t>e</m:t>
        </m:r>
        <m:r>
          <m:t>v</m:t>
        </m:r>
        <m:r>
          <m:t>e</m:t>
        </m:r>
        <m:r>
          <m:t>n</m:t>
        </m:r>
        <m:r>
          <m:t>u</m:t>
        </m:r>
        <m:r>
          <m:t>e</m:t>
        </m:r>
        <m:r>
          <m:rPr>
            <m:sty m:val="p"/>
          </m:rPr>
          <m:t>*</m:t>
        </m:r>
        <m:r>
          <m:rPr>
            <m:sty m:val="p"/>
          </m:rPr>
          <m:t>*</m:t>
        </m:r>
        <m:r>
          <m:rPr>
            <m:sty m:val="p"/>
          </m:rPr>
          <m:t>,</m:t>
        </m:r>
        <m:r>
          <m:t>o</m:t>
        </m:r>
        <m:r>
          <m:t>r</m:t>
        </m:r>
        <m:r>
          <m:t>a</m:t>
        </m:r>
        <m:r>
          <m:t>n</m:t>
        </m:r>
        <m:r>
          <m:t>a</m:t>
        </m:r>
        <m:r>
          <m:t>v</m:t>
        </m:r>
        <m:r>
          <m:t>e</m:t>
        </m:r>
        <m:r>
          <m:t>r</m:t>
        </m:r>
        <m:r>
          <m:t>a</m:t>
        </m:r>
        <m:r>
          <m:t>g</m:t>
        </m:r>
        <m:r>
          <m:t>e</m:t>
        </m:r>
        <m:r>
          <m:t>o</m:t>
        </m:r>
        <m:r>
          <m:t>f</m:t>
        </m:r>
        <m:r>
          <m:rPr>
            <m:sty m:val="p"/>
          </m:rPr>
          <m:t>*</m:t>
        </m:r>
        <m:r>
          <m:rPr>
            <m:sty m:val="p"/>
          </m:rPr>
          <m:t>*</m:t>
        </m:r>
      </m:oMath>
      <w:r>
        <w:rPr>
          <w:b/>
          <w:bCs/>
        </w:rPr>
        <w:t xml:space="preserve">623 million per quarter</w:t>
      </w:r>
      <w:r>
        <w:t xml:space="preserve">.</w:t>
      </w:r>
    </w:p>
    <w:p>
      <w:pPr>
        <w:pStyle w:val="Compact"/>
        <w:numPr>
          <w:ilvl w:val="0"/>
          <w:numId w:val="1002"/>
        </w:numPr>
      </w:pPr>
      <m:oMath>
        <m:r>
          <m:t>20.65</m:t>
        </m:r>
        <m:r>
          <m:t>o</m:t>
        </m:r>
        <m:r>
          <m:t>f</m:t>
        </m:r>
        <m:r>
          <m:t>s</m:t>
        </m:r>
        <m:r>
          <m:t>e</m:t>
        </m:r>
        <m:r>
          <m:t>c</m:t>
        </m:r>
        <m:r>
          <m:t>o</m:t>
        </m:r>
        <m:r>
          <m:t>n</m:t>
        </m:r>
        <m:r>
          <m:t>d</m:t>
        </m:r>
        <m:r>
          <m:rPr>
            <m:sty m:val="p"/>
          </m:rPr>
          <m:t>−</m:t>
        </m:r>
        <m:r>
          <m:t>h</m:t>
        </m:r>
        <m:r>
          <m:t>a</m:t>
        </m:r>
        <m:r>
          <m:t>l</m:t>
        </m:r>
        <m:r>
          <m:t>f</m:t>
        </m:r>
        <m:r>
          <m:t>n</m:t>
        </m:r>
        <m:r>
          <m:t>o</m:t>
        </m:r>
        <m:r>
          <m:t>n</m:t>
        </m:r>
        <m:r>
          <m:rPr>
            <m:sty m:val="p"/>
          </m:rPr>
          <m:t>−</m:t>
        </m:r>
        <m:r>
          <m:t>G</m:t>
        </m:r>
        <m:r>
          <m:t>A</m:t>
        </m:r>
        <m:r>
          <m:t>A</m:t>
        </m:r>
        <m:r>
          <m:t>P</m:t>
        </m:r>
        <m:r>
          <m:t>E</m:t>
        </m:r>
        <m:r>
          <m:t>P</m:t>
        </m:r>
        <m:r>
          <m:t>S</m:t>
        </m:r>
        <m:r>
          <m:rPr>
            <m:sty m:val="p"/>
          </m:rPr>
          <m:t>*</m:t>
        </m:r>
        <m:r>
          <m:rPr>
            <m:sty m:val="p"/>
          </m:rPr>
          <m:t>*</m:t>
        </m:r>
        <m:r>
          <m:rPr>
            <m:sty m:val="p"/>
          </m:rPr>
          <m:t>,</m:t>
        </m:r>
        <m:r>
          <m:t>o</m:t>
        </m:r>
        <m:r>
          <m:t>r</m:t>
        </m:r>
        <m:r>
          <m:t>a</m:t>
        </m:r>
        <m:r>
          <m:t>n</m:t>
        </m:r>
        <m:r>
          <m:t>a</m:t>
        </m:r>
        <m:r>
          <m:t>v</m:t>
        </m:r>
        <m:r>
          <m:t>e</m:t>
        </m:r>
        <m:r>
          <m:t>r</m:t>
        </m:r>
        <m:r>
          <m:t>a</m:t>
        </m:r>
        <m:r>
          <m:t>g</m:t>
        </m:r>
        <m:r>
          <m:t>e</m:t>
        </m:r>
        <m:r>
          <m:t>o</m:t>
        </m:r>
        <m:r>
          <m:t>f</m:t>
        </m:r>
        <m:r>
          <m:rPr>
            <m:sty m:val="p"/>
          </m:rPr>
          <m:t>*</m:t>
        </m:r>
        <m:r>
          <m:rPr>
            <m:sty m:val="p"/>
          </m:rPr>
          <m:t>*</m:t>
        </m:r>
      </m:oMath>
      <w:r>
        <w:rPr>
          <w:b/>
          <w:bCs/>
        </w:rPr>
        <w:t xml:space="preserve">10.33 per quarter</w:t>
      </w:r>
      <w:r>
        <w:t xml:space="preserve">.</w:t>
      </w:r>
    </w:p>
    <w:p>
      <w:pPr>
        <w:pStyle w:val="Compact"/>
        <w:numPr>
          <w:ilvl w:val="0"/>
          <w:numId w:val="1002"/>
        </w:numPr>
      </w:pPr>
      <w:r>
        <w:t xml:space="preserve">Roughly</w:t>
      </w:r>
      <w:r>
        <w:t xml:space="preserve"> </w:t>
      </w:r>
      <w:r>
        <w:rPr>
          <w:b/>
          <w:bCs/>
        </w:rPr>
        <w:t xml:space="preserve">18.5% second-half revenue growth</w:t>
      </w:r>
      <w:r>
        <w:t xml:space="preserve"> </w:t>
      </w:r>
      <w:r>
        <w:t xml:space="preserve">over fiscal 2H25.</w:t>
      </w:r>
    </w:p>
    <w:p>
      <w:pPr>
        <w:pStyle w:val="FirstParagraph"/>
      </w:pPr>
      <w:r>
        <w:t xml:space="preserve">The $623 million quarterly revenue average would represent approximately</w:t>
      </w:r>
      <w:r>
        <w:t xml:space="preserve"> </w:t>
      </w:r>
      <w:r>
        <w:rPr>
          <w:b/>
          <w:bCs/>
        </w:rPr>
        <w:t xml:space="preserve">16% growth</w:t>
      </w:r>
      <w:r>
        <w:t xml:space="preserve"> </w:t>
      </w:r>
      <w:r>
        <w:t xml:space="preserve">against fiscal 3Q25 revenue of $536.4 million, although the actual quarterly mix can differ materially because of mortgage volumes and point-in-time software revenue.</w:t>
      </w:r>
    </w:p>
    <w:p>
      <w:pPr>
        <w:pStyle w:val="BodyText"/>
      </w:pPr>
      <w:r>
        <w:rPr>
          <w:b/>
          <w:bCs/>
        </w:rPr>
        <w:t xml:space="preserve">Interpretation:</w:t>
      </w:r>
      <w:r>
        <w:t xml:space="preserve"> </w:t>
      </w:r>
      <w:r>
        <w:t xml:space="preserve">The raised full-year outlook does not require another $692 million quarter like fiscal 2Q26. As a result, investors should distinguish between a true deterioration and ordinary sequential normalization after a particularly strong quarter.</w:t>
      </w:r>
    </w:p>
    <w:p>
      <w:r>
        <w:pict>
          <v:rect style="width:0;height:1.5pt" o:hralign="center" o:hrstd="t" o:hr="t"/>
        </w:pict>
      </w:r>
    </w:p>
    <w:bookmarkEnd w:id="11"/>
    <w:bookmarkStart w:id="15" w:name="X90315715edfb2e22692a62ab3a6a784ef5b798e"/>
    <w:p>
      <w:pPr>
        <w:pStyle w:val="Heading2"/>
      </w:pPr>
      <w:r>
        <w:t xml:space="preserve">1. Scores: separate pricing from volume</w:t>
      </w:r>
    </w:p>
    <w:p>
      <w:pPr>
        <w:pStyle w:val="FirstParagraph"/>
      </w:pPr>
      <w:r>
        <w:t xml:space="preserve">Scores is the main earnings engine. Its fiscal 2Q26 segment operating margin reached approximately</w:t>
      </w:r>
      <w:r>
        <w:t xml:space="preserve"> </w:t>
      </w:r>
      <w:r>
        <w:rPr>
          <w:b/>
          <w:bCs/>
        </w:rPr>
        <w:t xml:space="preserve">91%</w:t>
      </w:r>
      <w:r>
        <w:t xml:space="preserve">, meaning incremental revenue from score pricing and volume flows through at exceptionally high margins.</w:t>
      </w:r>
    </w:p>
    <w:bookmarkStart w:id="12" w:name="what-matters-in-the-report"/>
    <w:p>
      <w:pPr>
        <w:pStyle w:val="Heading3"/>
      </w:pPr>
      <w:r>
        <w:t xml:space="preserve">What matters in the report</w:t>
      </w:r>
    </w:p>
    <w:p>
      <w:pPr>
        <w:pStyle w:val="FirstParagraph"/>
      </w:pPr>
      <w:r>
        <w:t xml:space="preserve">Investors should look for:</w:t>
      </w:r>
    </w:p>
    <w:p>
      <w:pPr>
        <w:pStyle w:val="Compact"/>
        <w:numPr>
          <w:ilvl w:val="0"/>
          <w:numId w:val="1003"/>
        </w:numPr>
      </w:pPr>
      <w:r>
        <w:t xml:space="preserve">Mortgage-origination Scores revenue growth.</w:t>
      </w:r>
    </w:p>
    <w:p>
      <w:pPr>
        <w:pStyle w:val="Compact"/>
        <w:numPr>
          <w:ilvl w:val="0"/>
          <w:numId w:val="1003"/>
        </w:numPr>
      </w:pPr>
      <w:r>
        <w:t xml:space="preserve">Management’s breakdown of</w:t>
      </w:r>
      <w:r>
        <w:t xml:space="preserve"> </w:t>
      </w:r>
      <w:r>
        <w:rPr>
          <w:b/>
          <w:bCs/>
        </w:rPr>
        <w:t xml:space="preserve">price versus volume</w:t>
      </w:r>
      <w:r>
        <w:t xml:space="preserve">.</w:t>
      </w:r>
    </w:p>
    <w:p>
      <w:pPr>
        <w:pStyle w:val="Compact"/>
        <w:numPr>
          <w:ilvl w:val="0"/>
          <w:numId w:val="1003"/>
        </w:numPr>
      </w:pPr>
      <w:r>
        <w:t xml:space="preserve">Whether mortgage volumes were again better than the conservative assumptions embedded in guidance.</w:t>
      </w:r>
    </w:p>
    <w:p>
      <w:pPr>
        <w:pStyle w:val="Compact"/>
        <w:numPr>
          <w:ilvl w:val="0"/>
          <w:numId w:val="1003"/>
        </w:numPr>
      </w:pPr>
      <w:r>
        <w:t xml:space="preserve">Trends in auto, credit-card and personal-loan originations.</w:t>
      </w:r>
    </w:p>
    <w:p>
      <w:pPr>
        <w:pStyle w:val="Compact"/>
        <w:numPr>
          <w:ilvl w:val="0"/>
          <w:numId w:val="1003"/>
        </w:numPr>
      </w:pPr>
      <w:r>
        <w:t xml:space="preserve">Evidence of any customer resistance, workflow changes or competitive share loss.</w:t>
      </w:r>
    </w:p>
    <w:p>
      <w:pPr>
        <w:pStyle w:val="FirstParagraph"/>
      </w:pPr>
      <w:r>
        <w:t xml:space="preserve">The fiscal 2Q26 mortgage result benefited from the new unit price, higher originations and some customers moving from lighter prior-year pricing to the full rate. That makes the year-over-year comparison powerful but means growth will eventually normalize as the pricing increase becomes fully annualized.</w:t>
      </w:r>
    </w:p>
    <w:p>
      <w:pPr>
        <w:pStyle w:val="BodyText"/>
      </w:pPr>
      <w:r>
        <w:t xml:space="preserve">Management previously said it expected</w:t>
      </w:r>
      <w:r>
        <w:t xml:space="preserve"> </w:t>
      </w:r>
      <w:r>
        <w:rPr>
          <w:b/>
          <w:bCs/>
        </w:rPr>
        <w:t xml:space="preserve">no volume loss to VantageScore during fiscal 2026</w:t>
      </w:r>
      <w:r>
        <w:t xml:space="preserve">. Any change in that language would be material.</w:t>
      </w:r>
    </w:p>
    <w:bookmarkEnd w:id="12"/>
    <w:bookmarkStart w:id="13" w:name="what-would-be-encouraging"/>
    <w:p>
      <w:pPr>
        <w:pStyle w:val="Heading3"/>
      </w:pPr>
      <w:r>
        <w:t xml:space="preserve">What would be encouraging</w:t>
      </w:r>
    </w:p>
    <w:p>
      <w:pPr>
        <w:pStyle w:val="Compact"/>
        <w:numPr>
          <w:ilvl w:val="0"/>
          <w:numId w:val="1004"/>
        </w:numPr>
      </w:pPr>
      <w:r>
        <w:t xml:space="preserve">Mortgage growth remains strong even after isolating pricing.</w:t>
      </w:r>
    </w:p>
    <w:p>
      <w:pPr>
        <w:pStyle w:val="Compact"/>
        <w:numPr>
          <w:ilvl w:val="0"/>
          <w:numId w:val="1004"/>
        </w:numPr>
      </w:pPr>
      <w:r>
        <w:t xml:space="preserve">Management reiterates conservative volume assumptions.</w:t>
      </w:r>
    </w:p>
    <w:p>
      <w:pPr>
        <w:pStyle w:val="Compact"/>
        <w:numPr>
          <w:ilvl w:val="0"/>
          <w:numId w:val="1004"/>
        </w:numPr>
      </w:pPr>
      <w:r>
        <w:t xml:space="preserve">No measurable share loss across mortgage, auto or cards.</w:t>
      </w:r>
    </w:p>
    <w:p>
      <w:pPr>
        <w:pStyle w:val="Compact"/>
        <w:numPr>
          <w:ilvl w:val="0"/>
          <w:numId w:val="1004"/>
        </w:numPr>
      </w:pPr>
      <w:r>
        <w:t xml:space="preserve">Stable growth in non-mortgage Scores categories.</w:t>
      </w:r>
    </w:p>
    <w:bookmarkEnd w:id="13"/>
    <w:bookmarkStart w:id="14" w:name="what-would-be-concerning"/>
    <w:p>
      <w:pPr>
        <w:pStyle w:val="Heading3"/>
      </w:pPr>
      <w:r>
        <w:t xml:space="preserve">What would be concerning</w:t>
      </w:r>
    </w:p>
    <w:p>
      <w:pPr>
        <w:pStyle w:val="Compact"/>
        <w:numPr>
          <w:ilvl w:val="0"/>
          <w:numId w:val="1005"/>
        </w:numPr>
      </w:pPr>
      <w:r>
        <w:t xml:space="preserve">Scores growth is overwhelmingly price-driven with weak underlying pulls.</w:t>
      </w:r>
    </w:p>
    <w:p>
      <w:pPr>
        <w:pStyle w:val="Compact"/>
        <w:numPr>
          <w:ilvl w:val="0"/>
          <w:numId w:val="1005"/>
        </w:numPr>
      </w:pPr>
      <w:r>
        <w:t xml:space="preserve">Management begins building competitive share loss into guidance.</w:t>
      </w:r>
    </w:p>
    <w:p>
      <w:pPr>
        <w:pStyle w:val="Compact"/>
        <w:numPr>
          <w:ilvl w:val="0"/>
          <w:numId w:val="1005"/>
        </w:numPr>
      </w:pPr>
      <w:r>
        <w:t xml:space="preserve">Softer subprime or consumer-credit activity spreads beyond the limited weakness previously discussed.</w:t>
      </w:r>
    </w:p>
    <w:p>
      <w:pPr>
        <w:pStyle w:val="Compact"/>
        <w:numPr>
          <w:ilvl w:val="0"/>
          <w:numId w:val="1005"/>
        </w:numPr>
      </w:pPr>
      <w:r>
        <w:t xml:space="preserve">Pricing gains are offset by concessions, mix or delayed implementation.</w:t>
      </w:r>
    </w:p>
    <w:p>
      <w:r>
        <w:pict>
          <v:rect style="width:0;height:1.5pt" o:hralign="center" o:hrstd="t" o:hr="t"/>
        </w:pict>
      </w:r>
    </w:p>
    <w:bookmarkEnd w:id="14"/>
    <w:bookmarkEnd w:id="15"/>
    <w:bookmarkStart w:id="17" w:name="Xb6678546eeaa80d43262596eb5e90a6ce3635f8"/>
    <w:p>
      <w:pPr>
        <w:pStyle w:val="Heading2"/>
      </w:pPr>
      <w:r>
        <w:t xml:space="preserve">2. FICO 10T and direct licensing may dominate the call</w:t>
      </w:r>
    </w:p>
    <w:p>
      <w:pPr>
        <w:pStyle w:val="FirstParagraph"/>
      </w:pPr>
      <w:r>
        <w:t xml:space="preserve">The central strategic issue is the transition to next-generation mortgage scores.</w:t>
      </w:r>
    </w:p>
    <w:p>
      <w:pPr>
        <w:pStyle w:val="BodyText"/>
      </w:pPr>
      <w:r>
        <w:t xml:space="preserve">FICO changed the direct-licensing performance model for FICO 10T from</w:t>
      </w:r>
      <w:r>
        <w:t xml:space="preserve"> </w:t>
      </w:r>
      <w:r>
        <w:rPr>
          <w:b/>
          <w:bCs/>
        </w:rPr>
        <w:t xml:space="preserve">$4.95 per score plus a</w:t>
      </w:r>
      <w:r>
        <w:rPr>
          <w:b/>
          <w:bCs/>
        </w:rPr>
        <w:t xml:space="preserve"> </w:t>
      </w:r>
      <m:oMath>
        <m:r>
          <m:t>33</m:t>
        </m:r>
        <m:r>
          <m:t>f</m:t>
        </m:r>
        <m:r>
          <m:t>u</m:t>
        </m:r>
        <m:r>
          <m:t>n</m:t>
        </m:r>
        <m:r>
          <m:t>d</m:t>
        </m:r>
        <m:r>
          <m:t>e</m:t>
        </m:r>
        <m:r>
          <m:t>d</m:t>
        </m:r>
        <m:r>
          <m:rPr>
            <m:sty m:val="p"/>
          </m:rPr>
          <m:t>−</m:t>
        </m:r>
        <m:r>
          <m:t>l</m:t>
        </m:r>
        <m:r>
          <m:t>o</m:t>
        </m:r>
        <m:r>
          <m:t>a</m:t>
        </m:r>
        <m:r>
          <m:t>n</m:t>
        </m:r>
        <m:r>
          <m:t>f</m:t>
        </m:r>
        <m:r>
          <m:t>e</m:t>
        </m:r>
        <m:r>
          <m:t>e</m:t>
        </m:r>
        <m:r>
          <m:rPr>
            <m:sty m:val="p"/>
          </m:rPr>
          <m:t>*</m:t>
        </m:r>
        <m:r>
          <m:rPr>
            <m:sty m:val="p"/>
          </m:rPr>
          <m:t>*</m:t>
        </m:r>
        <m:r>
          <m:t>t</m:t>
        </m:r>
        <m:r>
          <m:t>o</m:t>
        </m:r>
        <m:r>
          <m:rPr>
            <m:sty m:val="p"/>
          </m:rPr>
          <m:t>*</m:t>
        </m:r>
        <m:r>
          <m:rPr>
            <m:sty m:val="p"/>
          </m:rPr>
          <m:t>*</m:t>
        </m:r>
      </m:oMath>
      <w:r>
        <w:rPr>
          <w:b/>
          <w:bCs/>
        </w:rPr>
        <w:t xml:space="preserve">0.99 per score plus a $65 funding fee</w:t>
      </w:r>
      <w:r>
        <w:t xml:space="preserve">. Management described the revised structure as broadly revenue-neutral relative to traditional per-score pricing, but acknowledged that revenue under the performance model is recognized later because the funding fee follows the initial score pull.</w:t>
      </w:r>
    </w:p>
    <w:p>
      <w:pPr>
        <w:pStyle w:val="BodyText"/>
      </w:pPr>
      <w:r>
        <w:t xml:space="preserve">At the last update:</w:t>
      </w:r>
    </w:p>
    <w:p>
      <w:pPr>
        <w:pStyle w:val="Compact"/>
        <w:numPr>
          <w:ilvl w:val="0"/>
          <w:numId w:val="1006"/>
        </w:numPr>
      </w:pPr>
      <w:r>
        <w:t xml:space="preserve">Three of the five largest resellers had signed up.</w:t>
      </w:r>
    </w:p>
    <w:p>
      <w:pPr>
        <w:pStyle w:val="Compact"/>
        <w:numPr>
          <w:ilvl w:val="0"/>
          <w:numId w:val="1006"/>
        </w:numPr>
      </w:pPr>
      <w:r>
        <w:t xml:space="preserve">FICO was in advanced discussions with the other two.</w:t>
      </w:r>
    </w:p>
    <w:p>
      <w:pPr>
        <w:pStyle w:val="Compact"/>
        <w:numPr>
          <w:ilvl w:val="0"/>
          <w:numId w:val="1006"/>
        </w:numPr>
      </w:pPr>
      <w:r>
        <w:t xml:space="preserve">The remaining major dependency was FHFA approval for resellers to calculate the score.</w:t>
      </w:r>
    </w:p>
    <w:p>
      <w:pPr>
        <w:pStyle w:val="Compact"/>
        <w:numPr>
          <w:ilvl w:val="0"/>
          <w:numId w:val="1006"/>
        </w:numPr>
      </w:pPr>
      <w:r>
        <w:t xml:space="preserve">The 10T early-adopter program included</w:t>
      </w:r>
      <w:r>
        <w:t xml:space="preserve"> </w:t>
      </w:r>
      <w:r>
        <w:rPr>
          <w:b/>
          <w:bCs/>
        </w:rPr>
        <w:t xml:space="preserve">55 lenders</w:t>
      </w:r>
      <w:r>
        <w:t xml:space="preserve"> </w:t>
      </w:r>
      <w:r>
        <w:t xml:space="preserve">representing more than **</w:t>
      </w:r>
      <m:oMath>
        <m:r>
          <m:t>495</m:t>
        </m:r>
        <m:r>
          <m:t>b</m:t>
        </m:r>
        <m:r>
          <m:t>i</m:t>
        </m:r>
        <m:r>
          <m:t>l</m:t>
        </m:r>
        <m:r>
          <m:t>l</m:t>
        </m:r>
        <m:r>
          <m:t>i</m:t>
        </m:r>
        <m:r>
          <m:t>o</m:t>
        </m:r>
        <m:r>
          <m:t>n</m:t>
        </m:r>
        <m:r>
          <m:t>o</m:t>
        </m:r>
        <m:r>
          <m:t>f</m:t>
        </m:r>
        <m:r>
          <m:t>a</m:t>
        </m:r>
        <m:r>
          <m:t>n</m:t>
        </m:r>
        <m:r>
          <m:t>n</m:t>
        </m:r>
        <m:r>
          <m:t>u</m:t>
        </m:r>
        <m:r>
          <m:t>a</m:t>
        </m:r>
        <m:r>
          <m:t>l</m:t>
        </m:r>
        <m:r>
          <m:t>s</m:t>
        </m:r>
        <m:r>
          <m:t>e</m:t>
        </m:r>
        <m:r>
          <m:t>r</m:t>
        </m:r>
        <m:r>
          <m:t>v</m:t>
        </m:r>
        <m:r>
          <m:t>i</m:t>
        </m:r>
        <m:r>
          <m:t>c</m:t>
        </m:r>
        <m:r>
          <m:t>e</m:t>
        </m:r>
        <m:r>
          <m:t>a</m:t>
        </m:r>
        <m:r>
          <m:t>b</m:t>
        </m:r>
        <m:r>
          <m:t>l</m:t>
        </m:r>
        <m:r>
          <m:t>e</m:t>
        </m:r>
        <m:r>
          <m:t>o</m:t>
        </m:r>
        <m:r>
          <m:t>r</m:t>
        </m:r>
        <m:r>
          <m:t>i</m:t>
        </m:r>
        <m:r>
          <m:t>g</m:t>
        </m:r>
        <m:r>
          <m:t>i</m:t>
        </m:r>
        <m:r>
          <m:t>n</m:t>
        </m:r>
        <m:r>
          <m:t>a</m:t>
        </m:r>
        <m:r>
          <m:t>t</m:t>
        </m:r>
        <m:r>
          <m:t>i</m:t>
        </m:r>
        <m:r>
          <m:t>o</m:t>
        </m:r>
        <m:r>
          <m:t>n</m:t>
        </m:r>
        <m:r>
          <m:t>s</m:t>
        </m:r>
        <m:r>
          <m:rPr>
            <m:sty m:val="p"/>
          </m:rPr>
          <m:t>*</m:t>
        </m:r>
        <m:r>
          <m:rPr>
            <m:sty m:val="p"/>
          </m:rPr>
          <m:t>*</m:t>
        </m:r>
        <m:r>
          <m:t>a</m:t>
        </m:r>
        <m:r>
          <m:t>n</m:t>
        </m:r>
        <m:r>
          <m:t>d</m:t>
        </m:r>
        <m:r>
          <m:t>m</m:t>
        </m:r>
        <m:r>
          <m:t>o</m:t>
        </m:r>
        <m:r>
          <m:t>r</m:t>
        </m:r>
        <m:r>
          <m:t>e</m:t>
        </m:r>
        <m:r>
          <m:t>t</m:t>
        </m:r>
        <m:r>
          <m:t>h</m:t>
        </m:r>
        <m:r>
          <m:t>a</m:t>
        </m:r>
        <m:r>
          <m:t>n</m:t>
        </m:r>
        <m:r>
          <m:rPr>
            <m:sty m:val="p"/>
          </m:rPr>
          <m:t>*</m:t>
        </m:r>
        <m:r>
          <m:rPr>
            <m:sty m:val="p"/>
          </m:rPr>
          <m:t>*</m:t>
        </m:r>
      </m:oMath>
      <w:r>
        <w:t xml:space="preserve">1.6 trillion of eligible servicing.</w:t>
      </w:r>
    </w:p>
    <w:bookmarkStart w:id="16" w:name="key-questions-for-management"/>
    <w:p>
      <w:pPr>
        <w:pStyle w:val="Heading3"/>
      </w:pPr>
      <w:r>
        <w:t xml:space="preserve">Key questions for management</w:t>
      </w:r>
    </w:p>
    <w:p>
      <w:pPr>
        <w:pStyle w:val="Compact"/>
        <w:numPr>
          <w:ilvl w:val="0"/>
          <w:numId w:val="1007"/>
        </w:numPr>
      </w:pPr>
      <w:r>
        <w:rPr>
          <w:b/>
          <w:bCs/>
        </w:rPr>
        <w:t xml:space="preserve">Has direct licensing gone live?</w:t>
      </w:r>
    </w:p>
    <w:p>
      <w:pPr>
        <w:pStyle w:val="Compact"/>
        <w:numPr>
          <w:ilvl w:val="0"/>
          <w:numId w:val="1007"/>
        </w:numPr>
      </w:pPr>
      <w:r>
        <w:rPr>
          <w:b/>
          <w:bCs/>
        </w:rPr>
        <w:t xml:space="preserve">Has FHFA provided the necessary approval?</w:t>
      </w:r>
    </w:p>
    <w:p>
      <w:pPr>
        <w:pStyle w:val="Compact"/>
        <w:numPr>
          <w:ilvl w:val="0"/>
          <w:numId w:val="1007"/>
        </w:numPr>
      </w:pPr>
      <w:r>
        <w:rPr>
          <w:b/>
          <w:bCs/>
        </w:rPr>
        <w:t xml:space="preserve">Have the remaining major resellers signed?</w:t>
      </w:r>
    </w:p>
    <w:p>
      <w:pPr>
        <w:pStyle w:val="Compact"/>
        <w:numPr>
          <w:ilvl w:val="0"/>
          <w:numId w:val="1007"/>
        </w:numPr>
      </w:pPr>
      <w:r>
        <w:rPr>
          <w:b/>
          <w:bCs/>
        </w:rPr>
        <w:t xml:space="preserve">When will lenders be able to evaluate historical FICO 10T data?</w:t>
      </w:r>
    </w:p>
    <w:p>
      <w:pPr>
        <w:pStyle w:val="Compact"/>
        <w:numPr>
          <w:ilvl w:val="0"/>
          <w:numId w:val="1007"/>
        </w:numPr>
      </w:pPr>
      <w:r>
        <w:rPr>
          <w:b/>
          <w:bCs/>
        </w:rPr>
        <w:t xml:space="preserve">How quickly are lenders moving from testing to production?</w:t>
      </w:r>
    </w:p>
    <w:p>
      <w:pPr>
        <w:pStyle w:val="Compact"/>
        <w:numPr>
          <w:ilvl w:val="0"/>
          <w:numId w:val="1007"/>
        </w:numPr>
      </w:pPr>
      <w:r>
        <w:rPr>
          <w:b/>
          <w:bCs/>
        </w:rPr>
        <w:t xml:space="preserve">How much fiscal 4Q26 or fiscal 2027 revenue could be deferred by the funding-fee model?</w:t>
      </w:r>
    </w:p>
    <w:p>
      <w:pPr>
        <w:pStyle w:val="Compact"/>
        <w:numPr>
          <w:ilvl w:val="0"/>
          <w:numId w:val="1007"/>
        </w:numPr>
      </w:pPr>
      <w:r>
        <w:rPr>
          <w:b/>
          <w:bCs/>
        </w:rPr>
        <w:t xml:space="preserve">Is management still confident that the new model is economically neutral?</w:t>
      </w:r>
    </w:p>
    <w:p>
      <w:pPr>
        <w:pStyle w:val="FirstParagraph"/>
      </w:pPr>
      <w:r>
        <w:t xml:space="preserve">A delay is not necessarily negative for current-quarter revenue—the traditional upfront model can produce better near-term timing. But persistent delays would weaken the strategic argument that FICO can move rapidly to direct relationships and performance-based economics.</w:t>
      </w:r>
    </w:p>
    <w:p>
      <w:r>
        <w:pict>
          <v:rect style="width:0;height:1.5pt" o:hralign="center" o:hrstd="t" o:hr="t"/>
        </w:pict>
      </w:r>
    </w:p>
    <w:bookmarkEnd w:id="16"/>
    <w:bookmarkEnd w:id="17"/>
    <w:bookmarkStart w:id="18" w:name="X59eb7bff0ff7d063f7f2fc2d6dd57af49862b2b"/>
    <w:p>
      <w:pPr>
        <w:pStyle w:val="Heading2"/>
      </w:pPr>
      <w:r>
        <w:t xml:space="preserve">3. The VantageScore debate: volume matters more than nominal share</w:t>
      </w:r>
    </w:p>
    <w:p>
      <w:pPr>
        <w:pStyle w:val="FirstParagraph"/>
      </w:pPr>
      <w:r>
        <w:t xml:space="preserve">Management’s position has been emphatic:</w:t>
      </w:r>
    </w:p>
    <w:p>
      <w:pPr>
        <w:pStyle w:val="Compact"/>
        <w:numPr>
          <w:ilvl w:val="0"/>
          <w:numId w:val="1008"/>
        </w:numPr>
      </w:pPr>
      <w:r>
        <w:t xml:space="preserve">FICO 10T is more predictive.</w:t>
      </w:r>
    </w:p>
    <w:p>
      <w:pPr>
        <w:pStyle w:val="Compact"/>
        <w:numPr>
          <w:ilvl w:val="0"/>
          <w:numId w:val="1008"/>
        </w:numPr>
      </w:pPr>
      <w:r>
        <w:t xml:space="preserve">At $0.99 upfront, its price is competitive with VantageScore.</w:t>
      </w:r>
    </w:p>
    <w:p>
      <w:pPr>
        <w:pStyle w:val="Compact"/>
        <w:numPr>
          <w:ilvl w:val="0"/>
          <w:numId w:val="1008"/>
        </w:numPr>
      </w:pPr>
      <w:r>
        <w:t xml:space="preserve">The securitization market remains structured around FICO.</w:t>
      </w:r>
    </w:p>
    <w:p>
      <w:pPr>
        <w:pStyle w:val="Compact"/>
        <w:numPr>
          <w:ilvl w:val="0"/>
          <w:numId w:val="1008"/>
        </w:numPr>
      </w:pPr>
      <w:r>
        <w:t xml:space="preserve">FICO does not expect meaningful fiscal 2026 volume loss.</w:t>
      </w:r>
    </w:p>
    <w:p>
      <w:pPr>
        <w:pStyle w:val="FirstParagraph"/>
      </w:pPr>
      <w:r>
        <w:t xml:space="preserve">There is, however, a subtle risk and potential opportunity. If lenders pull both FICO and Vantage scores to determine which produces more favorable mortgage economics for a borrower, VantageScore could gain nominal share without reducing FICO’s score volume. In that scenario, the total addressable number of pulls could expand.</w:t>
      </w:r>
    </w:p>
    <w:p>
      <w:pPr>
        <w:pStyle w:val="BodyText"/>
      </w:pPr>
      <w:r>
        <w:t xml:space="preserve">The important distinction on this call is therefore:</w:t>
      </w:r>
    </w:p>
    <w:p>
      <w:pPr>
        <w:pStyle w:val="Compact"/>
        <w:numPr>
          <w:ilvl w:val="0"/>
          <w:numId w:val="1009"/>
        </w:numPr>
      </w:pPr>
      <w:r>
        <w:rPr>
          <w:b/>
          <w:bCs/>
        </w:rPr>
        <w:t xml:space="preserve">Share loss with retained FICO pulls:</w:t>
      </w:r>
      <w:r>
        <w:t xml:space="preserve"> </w:t>
      </w:r>
      <w:r>
        <w:t xml:space="preserve">potentially manageable.</w:t>
      </w:r>
    </w:p>
    <w:p>
      <w:pPr>
        <w:pStyle w:val="Compact"/>
        <w:numPr>
          <w:ilvl w:val="0"/>
          <w:numId w:val="1009"/>
        </w:numPr>
      </w:pPr>
      <w:r>
        <w:rPr>
          <w:b/>
          <w:bCs/>
        </w:rPr>
        <w:t xml:space="preserve">Actual reduction in FICO volumes:</w:t>
      </w:r>
      <w:r>
        <w:t xml:space="preserve"> </w:t>
      </w:r>
      <w:r>
        <w:t xml:space="preserve">economically more serious.</w:t>
      </w:r>
    </w:p>
    <w:p>
      <w:pPr>
        <w:pStyle w:val="Compact"/>
        <w:numPr>
          <w:ilvl w:val="0"/>
          <w:numId w:val="1009"/>
        </w:numPr>
      </w:pPr>
      <w:r>
        <w:rPr>
          <w:b/>
          <w:bCs/>
        </w:rPr>
        <w:t xml:space="preserve">Regulatory restrictions or selling-guide changes:</w:t>
      </w:r>
      <w:r>
        <w:t xml:space="preserve"> </w:t>
      </w:r>
      <w:r>
        <w:t xml:space="preserve">potentially more consequential than early lender pilot activity.</w:t>
      </w:r>
    </w:p>
    <w:p>
      <w:pPr>
        <w:pStyle w:val="FirstParagraph"/>
      </w:pPr>
      <w:r>
        <w:t xml:space="preserve">Investors should listen closely for any change from management’s prior confidence that the competitive rollout will not cause material FICO volume loss.</w:t>
      </w:r>
    </w:p>
    <w:p>
      <w:r>
        <w:pict>
          <v:rect style="width:0;height:1.5pt" o:hralign="center" o:hrstd="t" o:hr="t"/>
        </w:pict>
      </w:r>
    </w:p>
    <w:bookmarkEnd w:id="18"/>
    <w:bookmarkStart w:id="20" w:name="X3b6761a5c5829ab3d25a63743e6f4d63d8c19fa"/>
    <w:p>
      <w:pPr>
        <w:pStyle w:val="Heading2"/>
      </w:pPr>
      <w:r>
        <w:t xml:space="preserve">4. Software: Platform momentum needs to become cleaner</w:t>
      </w:r>
    </w:p>
    <w:p>
      <w:pPr>
        <w:pStyle w:val="FirstParagraph"/>
      </w:pPr>
      <w:r>
        <w:t xml:space="preserve">Software is smaller and lower-margin than Scores, but it is increasingly important to the durability of the valuation.</w:t>
      </w:r>
    </w:p>
    <w:p>
      <w:pPr>
        <w:pStyle w:val="BodyText"/>
      </w:pPr>
      <w:r>
        <w:t xml:space="preserve">At the end of fiscal 2Q26:</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Software metric</w:t>
            </w:r>
          </w:p>
        </w:tc>
        <w:tc>
          <w:tcPr/>
          <w:p>
            <w:pPr>
              <w:pStyle w:val="Compact"/>
              <w:jc w:val="right"/>
            </w:pPr>
            <w:r>
              <w:t xml:space="preserve">Fiscal 2Q26</w:t>
            </w:r>
          </w:p>
        </w:tc>
      </w:tr>
      <w:tr>
        <w:tc>
          <w:tcPr/>
          <w:p>
            <w:pPr>
              <w:pStyle w:val="Compact"/>
            </w:pPr>
            <w:r>
              <w:t xml:space="preserve">Total ARR</w:t>
            </w:r>
          </w:p>
        </w:tc>
        <w:tc>
          <w:tcPr/>
          <w:p>
            <w:pPr>
              <w:pStyle w:val="Compact"/>
              <w:jc w:val="right"/>
            </w:pPr>
            <w:r>
              <w:rPr>
                <w:b/>
                <w:bCs/>
              </w:rPr>
              <w:t xml:space="preserve">$788.8 million</w:t>
            </w:r>
            <w:r>
              <w:t xml:space="preserve">, +10%</w:t>
            </w:r>
          </w:p>
        </w:tc>
      </w:tr>
      <w:tr>
        <w:tc>
          <w:tcPr/>
          <w:p>
            <w:pPr>
              <w:pStyle w:val="Compact"/>
            </w:pPr>
            <w:r>
              <w:t xml:space="preserve">Platform ARR</w:t>
            </w:r>
          </w:p>
        </w:tc>
        <w:tc>
          <w:tcPr/>
          <w:p>
            <w:pPr>
              <w:pStyle w:val="Compact"/>
              <w:jc w:val="right"/>
            </w:pPr>
            <w:r>
              <w:rPr>
                <w:b/>
                <w:bCs/>
              </w:rPr>
              <w:t xml:space="preserve">$348.8 million</w:t>
            </w:r>
            <w:r>
              <w:t xml:space="preserve">, +49%</w:t>
            </w:r>
          </w:p>
        </w:tc>
      </w:tr>
      <w:tr>
        <w:tc>
          <w:tcPr/>
          <w:p>
            <w:pPr>
              <w:pStyle w:val="Compact"/>
            </w:pPr>
            <w:r>
              <w:t xml:space="preserve">Non-platform ARR</w:t>
            </w:r>
          </w:p>
        </w:tc>
        <w:tc>
          <w:tcPr/>
          <w:p>
            <w:pPr>
              <w:pStyle w:val="Compact"/>
              <w:jc w:val="right"/>
            </w:pPr>
            <w:r>
              <w:rPr>
                <w:b/>
                <w:bCs/>
              </w:rPr>
              <w:t xml:space="preserve">$440.0 million</w:t>
            </w:r>
            <w:r>
              <w:t xml:space="preserve">, -8%</w:t>
            </w:r>
          </w:p>
        </w:tc>
      </w:tr>
      <w:tr>
        <w:tc>
          <w:tcPr/>
          <w:p>
            <w:pPr>
              <w:pStyle w:val="Compact"/>
            </w:pPr>
            <w:r>
              <w:t xml:space="preserve">Total net retention</w:t>
            </w:r>
          </w:p>
        </w:tc>
        <w:tc>
          <w:tcPr/>
          <w:p>
            <w:pPr>
              <w:pStyle w:val="Compact"/>
              <w:jc w:val="right"/>
            </w:pPr>
            <w:r>
              <w:rPr>
                <w:b/>
                <w:bCs/>
              </w:rPr>
              <w:t xml:space="preserve">109%</w:t>
            </w:r>
          </w:p>
        </w:tc>
      </w:tr>
      <w:tr>
        <w:tc>
          <w:tcPr/>
          <w:p>
            <w:pPr>
              <w:pStyle w:val="Compact"/>
            </w:pPr>
            <w:r>
              <w:t xml:space="preserve">Platform net retention</w:t>
            </w:r>
          </w:p>
        </w:tc>
        <w:tc>
          <w:tcPr/>
          <w:p>
            <w:pPr>
              <w:pStyle w:val="Compact"/>
              <w:jc w:val="right"/>
            </w:pPr>
            <w:r>
              <w:rPr>
                <w:b/>
                <w:bCs/>
              </w:rPr>
              <w:t xml:space="preserve">136%</w:t>
            </w:r>
          </w:p>
        </w:tc>
      </w:tr>
      <w:tr>
        <w:tc>
          <w:tcPr/>
          <w:p>
            <w:pPr>
              <w:pStyle w:val="Compact"/>
            </w:pPr>
            <w:r>
              <w:t xml:space="preserve">Non-platform net retention</w:t>
            </w:r>
          </w:p>
        </w:tc>
        <w:tc>
          <w:tcPr/>
          <w:p>
            <w:pPr>
              <w:pStyle w:val="Compact"/>
              <w:jc w:val="right"/>
            </w:pPr>
            <w:r>
              <w:rPr>
                <w:b/>
                <w:bCs/>
              </w:rPr>
              <w:t xml:space="preserve">90%</w:t>
            </w:r>
          </w:p>
        </w:tc>
      </w:tr>
      <w:tr>
        <w:tc>
          <w:tcPr/>
          <w:p>
            <w:pPr>
              <w:pStyle w:val="Compact"/>
            </w:pPr>
            <w:r>
              <w:t xml:space="preserve">Quarterly ACV bookings</w:t>
            </w:r>
          </w:p>
        </w:tc>
        <w:tc>
          <w:tcPr/>
          <w:p>
            <w:pPr>
              <w:pStyle w:val="Compact"/>
              <w:jc w:val="right"/>
            </w:pPr>
            <w:r>
              <w:rPr>
                <w:b/>
                <w:bCs/>
              </w:rPr>
              <w:t xml:space="preserve">$28.3 million</w:t>
            </w:r>
          </w:p>
        </w:tc>
      </w:tr>
      <w:tr>
        <w:tc>
          <w:tcPr/>
          <w:p>
            <w:pPr>
              <w:pStyle w:val="Compact"/>
            </w:pPr>
            <w:r>
              <w:t xml:space="preserve">Trailing-12-month ACV bookings</w:t>
            </w:r>
          </w:p>
        </w:tc>
        <w:tc>
          <w:tcPr/>
          <w:p>
            <w:pPr>
              <w:pStyle w:val="Compact"/>
              <w:jc w:val="right"/>
            </w:pPr>
            <w:r>
              <w:rPr>
                <w:b/>
                <w:bCs/>
              </w:rPr>
              <w:t xml:space="preserve">$126 million</w:t>
            </w:r>
            <w:r>
              <w:t xml:space="preserve">, +36%</w:t>
            </w:r>
          </w:p>
        </w:tc>
      </w:tr>
    </w:tbl>
    <w:p>
      <w:pPr>
        <w:pStyle w:val="BodyText"/>
      </w:pPr>
      <w:r>
        <w:t xml:space="preserve">The reported</w:t>
      </w:r>
      <w:r>
        <w:t xml:space="preserve"> </w:t>
      </w:r>
      <w:r>
        <w:rPr>
          <w:b/>
          <w:bCs/>
        </w:rPr>
        <w:t xml:space="preserve">49% Platform ARR growth</w:t>
      </w:r>
      <w:r>
        <w:t xml:space="preserve"> </w:t>
      </w:r>
      <w:r>
        <w:t xml:space="preserve">included migrations from non-platform products. Management said underlying Platform ARR growth excluding those migrations was in the</w:t>
      </w:r>
      <w:r>
        <w:t xml:space="preserve"> </w:t>
      </w:r>
      <w:r>
        <w:rPr>
          <w:b/>
          <w:bCs/>
        </w:rPr>
        <w:t xml:space="preserve">mid-30% range</w:t>
      </w:r>
      <w:r>
        <w:t xml:space="preserve">, which remains excellent.</w:t>
      </w:r>
    </w:p>
    <w:bookmarkStart w:id="19" w:name="what-investors-should-focus-on"/>
    <w:p>
      <w:pPr>
        <w:pStyle w:val="Heading3"/>
      </w:pPr>
      <w:r>
        <w:t xml:space="preserve">What investors should focus on</w:t>
      </w:r>
    </w:p>
    <w:p>
      <w:pPr>
        <w:pStyle w:val="Compact"/>
        <w:numPr>
          <w:ilvl w:val="0"/>
          <w:numId w:val="1010"/>
        </w:numPr>
      </w:pPr>
      <w:r>
        <w:t xml:space="preserve">Platform ARR growth excluding migrations.</w:t>
      </w:r>
    </w:p>
    <w:p>
      <w:pPr>
        <w:pStyle w:val="Compact"/>
        <w:numPr>
          <w:ilvl w:val="0"/>
          <w:numId w:val="1010"/>
        </w:numPr>
      </w:pPr>
      <w:r>
        <w:t xml:space="preserve">Platform net retention and increased usage by existing customers.</w:t>
      </w:r>
    </w:p>
    <w:p>
      <w:pPr>
        <w:pStyle w:val="Compact"/>
        <w:numPr>
          <w:ilvl w:val="0"/>
          <w:numId w:val="1010"/>
        </w:numPr>
      </w:pPr>
      <w:r>
        <w:t xml:space="preserve">New-customer wins versus expansion within the installed base.</w:t>
      </w:r>
    </w:p>
    <w:p>
      <w:pPr>
        <w:pStyle w:val="Compact"/>
        <w:numPr>
          <w:ilvl w:val="0"/>
          <w:numId w:val="1010"/>
        </w:numPr>
      </w:pPr>
      <w:r>
        <w:t xml:space="preserve">Whether second-half bookings are tracking above the first half, as management forecast.</w:t>
      </w:r>
    </w:p>
    <w:p>
      <w:pPr>
        <w:pStyle w:val="Compact"/>
        <w:numPr>
          <w:ilvl w:val="0"/>
          <w:numId w:val="1010"/>
        </w:numPr>
      </w:pPr>
      <w:r>
        <w:t xml:space="preserve">The pace of non-platform contraction.</w:t>
      </w:r>
    </w:p>
    <w:p>
      <w:pPr>
        <w:pStyle w:val="Compact"/>
        <w:numPr>
          <w:ilvl w:val="0"/>
          <w:numId w:val="1010"/>
        </w:numPr>
      </w:pPr>
      <w:r>
        <w:t xml:space="preserve">Software segment margins, which fell to approximately 29% in fiscal 2Q26 because of hosting costs and less high-margin point-in-time revenue.</w:t>
      </w:r>
    </w:p>
    <w:p>
      <w:pPr>
        <w:pStyle w:val="FirstParagraph"/>
      </w:pPr>
      <w:r>
        <w:t xml:space="preserve">The ideal report would show Platform ARR continuing to grow above 30% organically, total ARR accelerating and non-platform deterioration stabilizing. A less favorable outcome would be strong headline Platform growth driven primarily by reclassification while total ARR and Software revenue remain sluggish.</w:t>
      </w:r>
    </w:p>
    <w:p>
      <w:r>
        <w:pict>
          <v:rect style="width:0;height:1.5pt" o:hralign="center" o:hrstd="t" o:hr="t"/>
        </w:pict>
      </w:r>
    </w:p>
    <w:bookmarkEnd w:id="19"/>
    <w:bookmarkEnd w:id="20"/>
    <w:bookmarkStart w:id="23" w:name="Xc50a73dbf4d78c2fb559d159ea3f0316ef95e73"/>
    <w:p>
      <w:pPr>
        <w:pStyle w:val="Heading2"/>
      </w:pPr>
      <w:r>
        <w:t xml:space="preserve">5. Margin quality and expense normalization</w:t>
      </w:r>
    </w:p>
    <w:p>
      <w:pPr>
        <w:pStyle w:val="FirstParagraph"/>
      </w:pPr>
      <w:r>
        <w:t xml:space="preserve">Fiscal 2Q26’s 65% non-GAAP operating margin benefited from the mix shift toward high-margin Scores revenue. Management warned that operating expenses would rise modestly in the second half because of:</w:t>
      </w:r>
    </w:p>
    <w:p>
      <w:pPr>
        <w:pStyle w:val="Compact"/>
        <w:numPr>
          <w:ilvl w:val="0"/>
          <w:numId w:val="1011"/>
        </w:numPr>
      </w:pPr>
      <w:r>
        <w:t xml:space="preserve">Personnel expenses.</w:t>
      </w:r>
    </w:p>
    <w:p>
      <w:pPr>
        <w:pStyle w:val="Compact"/>
        <w:numPr>
          <w:ilvl w:val="0"/>
          <w:numId w:val="1011"/>
        </w:numPr>
      </w:pPr>
      <w:r>
        <w:t xml:space="preserve">Scores marketing.</w:t>
      </w:r>
    </w:p>
    <w:p>
      <w:pPr>
        <w:pStyle w:val="Compact"/>
        <w:numPr>
          <w:ilvl w:val="0"/>
          <w:numId w:val="1011"/>
        </w:numPr>
      </w:pPr>
      <w:r>
        <w:t xml:space="preserve">FICO World.</w:t>
      </w:r>
    </w:p>
    <w:p>
      <w:pPr>
        <w:pStyle w:val="Compact"/>
        <w:numPr>
          <w:ilvl w:val="0"/>
          <w:numId w:val="1011"/>
        </w:numPr>
      </w:pPr>
      <w:r>
        <w:t xml:space="preserve">Costs associated with Software growth.</w:t>
      </w:r>
    </w:p>
    <w:p>
      <w:pPr>
        <w:pStyle w:val="Compact"/>
        <w:numPr>
          <w:ilvl w:val="0"/>
          <w:numId w:val="1011"/>
        </w:numPr>
      </w:pPr>
      <w:r>
        <w:t xml:space="preserve">Higher interest expense.</w:t>
      </w:r>
    </w:p>
    <w:p>
      <w:pPr>
        <w:pStyle w:val="FirstParagraph"/>
      </w:pPr>
      <w:r>
        <w:t xml:space="preserve">The key issue is not whether expenses increase sequentially—they probably should—but whether revenue growth continues to outpace those investments.</w:t>
      </w:r>
    </w:p>
    <w:bookmarkStart w:id="21" w:name="positive-margin-signal"/>
    <w:p>
      <w:pPr>
        <w:pStyle w:val="Heading3"/>
      </w:pPr>
      <w:r>
        <w:t xml:space="preserve">Positive margin signal</w:t>
      </w:r>
    </w:p>
    <w:p>
      <w:pPr>
        <w:pStyle w:val="FirstParagraph"/>
      </w:pPr>
      <w:r>
        <w:t xml:space="preserve">Scores remains strong, Software margins stabilize, and consolidated margins hold close to the fiscal 2Q level despite higher spending.</w:t>
      </w:r>
    </w:p>
    <w:bookmarkEnd w:id="21"/>
    <w:bookmarkStart w:id="22" w:name="negative-margin-signal"/>
    <w:p>
      <w:pPr>
        <w:pStyle w:val="Heading3"/>
      </w:pPr>
      <w:r>
        <w:t xml:space="preserve">Negative margin signal</w:t>
      </w:r>
    </w:p>
    <w:p>
      <w:pPr>
        <w:pStyle w:val="FirstParagraph"/>
      </w:pPr>
      <w:r>
        <w:t xml:space="preserve">A combination of weaker mortgage volume, higher Software infrastructure costs and rising interest expense produces a sharper-than-expected margin reversal.</w:t>
      </w:r>
    </w:p>
    <w:p>
      <w:r>
        <w:pict>
          <v:rect style="width:0;height:1.5pt" o:hralign="center" o:hrstd="t" o:hr="t"/>
        </w:pict>
      </w:r>
    </w:p>
    <w:bookmarkEnd w:id="22"/>
    <w:bookmarkEnd w:id="23"/>
    <w:bookmarkStart w:id="24" w:name="Xa4c3330f9e0964438b866a741041813cdafa9ff"/>
    <w:p>
      <w:pPr>
        <w:pStyle w:val="Heading2"/>
      </w:pPr>
      <w:r>
        <w:t xml:space="preserve">6. Capital allocation: buybacks are meaningful, but so is leverage</w:t>
      </w:r>
    </w:p>
    <w:p>
      <w:pPr>
        <w:pStyle w:val="FirstParagraph"/>
      </w:pPr>
      <w:r>
        <w:t xml:space="preserve">FICO repurchased</w:t>
      </w:r>
      <w:r>
        <w:t xml:space="preserve"> </w:t>
      </w:r>
      <m:oMath>
        <m:r>
          <m:t>605</m:t>
        </m:r>
        <m:r>
          <m:t>m</m:t>
        </m:r>
        <m:r>
          <m:t>i</m:t>
        </m:r>
        <m:r>
          <m:t>l</m:t>
        </m:r>
        <m:r>
          <m:t>l</m:t>
        </m:r>
        <m:r>
          <m:t>i</m:t>
        </m:r>
        <m:r>
          <m:t>o</m:t>
        </m:r>
        <m:r>
          <m:t>n</m:t>
        </m:r>
        <m:r>
          <m:rPr>
            <m:sty m:val="p"/>
          </m:rPr>
          <m:t>*</m:t>
        </m:r>
        <m:r>
          <m:rPr>
            <m:sty m:val="p"/>
          </m:rPr>
          <m:t>*</m:t>
        </m:r>
        <m:r>
          <m:t>o</m:t>
        </m:r>
        <m:r>
          <m:t>f</m:t>
        </m:r>
        <m:r>
          <m:t>s</m:t>
        </m:r>
        <m:r>
          <m:t>t</m:t>
        </m:r>
        <m:r>
          <m:t>o</m:t>
        </m:r>
        <m:r>
          <m:t>c</m:t>
        </m:r>
        <m:r>
          <m:t>k</m:t>
        </m:r>
        <m:r>
          <m:t>d</m:t>
        </m:r>
        <m:r>
          <m:t>u</m:t>
        </m:r>
        <m:r>
          <m:t>r</m:t>
        </m:r>
        <m:r>
          <m:t>i</m:t>
        </m:r>
        <m:r>
          <m:t>n</m:t>
        </m:r>
        <m:r>
          <m:t>g</m:t>
        </m:r>
        <m:r>
          <m:t>f</m:t>
        </m:r>
        <m:r>
          <m:t>i</m:t>
        </m:r>
        <m:r>
          <m:t>s</m:t>
        </m:r>
        <m:r>
          <m:t>c</m:t>
        </m:r>
        <m:r>
          <m:t>a</m:t>
        </m:r>
        <m:r>
          <m:t>l</m:t>
        </m:r>
        <m:r>
          <m:t>2</m:t>
        </m:r>
        <m:r>
          <m:t>Q</m:t>
        </m:r>
        <m:r>
          <m:t>26</m:t>
        </m:r>
        <m:r>
          <m:t>a</m:t>
        </m:r>
        <m:r>
          <m:t>t</m:t>
        </m:r>
        <m:r>
          <m:t>a</m:t>
        </m:r>
        <m:r>
          <m:t>n</m:t>
        </m:r>
        <m:r>
          <m:t>a</m:t>
        </m:r>
        <m:r>
          <m:t>v</m:t>
        </m:r>
        <m:r>
          <m:t>e</m:t>
        </m:r>
        <m:r>
          <m:t>r</m:t>
        </m:r>
        <m:r>
          <m:t>a</m:t>
        </m:r>
        <m:r>
          <m:t>g</m:t>
        </m:r>
        <m:r>
          <m:t>e</m:t>
        </m:r>
        <m:r>
          <m:t>p</m:t>
        </m:r>
        <m:r>
          <m:t>r</m:t>
        </m:r>
        <m:r>
          <m:t>i</m:t>
        </m:r>
        <m:r>
          <m:t>c</m:t>
        </m:r>
        <m:r>
          <m:t>e</m:t>
        </m:r>
        <m:r>
          <m:t>o</m:t>
        </m:r>
        <m:r>
          <m:t>f</m:t>
        </m:r>
        <m:r>
          <m:t>a</m:t>
        </m:r>
        <m:r>
          <m:t>p</m:t>
        </m:r>
        <m:r>
          <m:t>p</m:t>
        </m:r>
        <m:r>
          <m:t>r</m:t>
        </m:r>
        <m:r>
          <m:t>o</m:t>
        </m:r>
        <m:r>
          <m:t>x</m:t>
        </m:r>
        <m:r>
          <m:t>i</m:t>
        </m:r>
        <m:r>
          <m:t>m</m:t>
        </m:r>
        <m:r>
          <m:t>a</m:t>
        </m:r>
        <m:r>
          <m:t>t</m:t>
        </m:r>
        <m:r>
          <m:t>e</m:t>
        </m:r>
        <m:r>
          <m:t>l</m:t>
        </m:r>
        <m:r>
          <m:t>y</m:t>
        </m:r>
        <m:r>
          <m:rPr>
            <m:sty m:val="p"/>
          </m:rPr>
          <m:t>*</m:t>
        </m:r>
        <m:r>
          <m:rPr>
            <m:sty m:val="p"/>
          </m:rPr>
          <m:t>*</m:t>
        </m:r>
      </m:oMath>
      <w:r>
        <w:rPr>
          <w:b/>
          <w:bCs/>
        </w:rPr>
        <w:t xml:space="preserve">1,251</w:t>
      </w:r>
      <w:r>
        <w:t xml:space="preserve">. It subsequently disclosed another</w:t>
      </w:r>
      <w:r>
        <w:t xml:space="preserve"> </w:t>
      </w:r>
      <m:oMath>
        <m:r>
          <m:t>170</m:t>
        </m:r>
        <m:r>
          <m:t>m</m:t>
        </m:r>
        <m:r>
          <m:t>i</m:t>
        </m:r>
        <m:r>
          <m:t>l</m:t>
        </m:r>
        <m:r>
          <m:t>l</m:t>
        </m:r>
        <m:r>
          <m:t>i</m:t>
        </m:r>
        <m:r>
          <m:t>o</m:t>
        </m:r>
        <m:r>
          <m:t>n</m:t>
        </m:r>
        <m:r>
          <m:rPr>
            <m:sty m:val="p"/>
          </m:rPr>
          <m:t>*</m:t>
        </m:r>
        <m:r>
          <m:rPr>
            <m:sty m:val="p"/>
          </m:rPr>
          <m:t>*</m:t>
        </m:r>
        <m:r>
          <m:t>o</m:t>
        </m:r>
        <m:r>
          <m:t>f</m:t>
        </m:r>
        <m:r>
          <m:t>p</m:t>
        </m:r>
        <m:r>
          <m:t>u</m:t>
        </m:r>
        <m:r>
          <m:t>r</m:t>
        </m:r>
        <m:r>
          <m:t>c</m:t>
        </m:r>
        <m:r>
          <m:t>h</m:t>
        </m:r>
        <m:r>
          <m:t>a</m:t>
        </m:r>
        <m:r>
          <m:t>s</m:t>
        </m:r>
        <m:r>
          <m:t>e</m:t>
        </m:r>
        <m:r>
          <m:t>s</m:t>
        </m:r>
        <m:r>
          <m:t>a</m:t>
        </m:r>
        <m:r>
          <m:t>f</m:t>
        </m:r>
        <m:r>
          <m:t>t</m:t>
        </m:r>
        <m:r>
          <m:t>e</m:t>
        </m:r>
        <m:r>
          <m:t>r</m:t>
        </m:r>
        <m:r>
          <m:t>q</m:t>
        </m:r>
        <m:r>
          <m:t>u</m:t>
        </m:r>
        <m:r>
          <m:t>a</m:t>
        </m:r>
        <m:r>
          <m:t>r</m:t>
        </m:r>
        <m:r>
          <m:t>t</m:t>
        </m:r>
        <m:r>
          <m:t>e</m:t>
        </m:r>
        <m:r>
          <m:t>r</m:t>
        </m:r>
        <m:r>
          <m:rPr>
            <m:sty m:val="p"/>
          </m:rPr>
          <m:t>−</m:t>
        </m:r>
        <m:r>
          <m:t>e</m:t>
        </m:r>
        <m:r>
          <m:t>n</m:t>
        </m:r>
        <m:r>
          <m:t>d</m:t>
        </m:r>
        <m:r>
          <m:t>a</m:t>
        </m:r>
        <m:r>
          <m:t>t</m:t>
        </m:r>
        <m:r>
          <m:t>a</m:t>
        </m:r>
        <m:r>
          <m:t>n</m:t>
        </m:r>
        <m:r>
          <m:t>a</m:t>
        </m:r>
        <m:r>
          <m:t>v</m:t>
        </m:r>
        <m:r>
          <m:t>e</m:t>
        </m:r>
        <m:r>
          <m:t>r</m:t>
        </m:r>
        <m:r>
          <m:t>a</m:t>
        </m:r>
        <m:r>
          <m:t>g</m:t>
        </m:r>
        <m:r>
          <m:t>e</m:t>
        </m:r>
        <m:r>
          <m:t>p</m:t>
        </m:r>
        <m:r>
          <m:t>r</m:t>
        </m:r>
        <m:r>
          <m:t>i</m:t>
        </m:r>
        <m:r>
          <m:t>c</m:t>
        </m:r>
        <m:r>
          <m:t>e</m:t>
        </m:r>
        <m:r>
          <m:t>n</m:t>
        </m:r>
        <m:r>
          <m:t>e</m:t>
        </m:r>
        <m:r>
          <m:t>a</m:t>
        </m:r>
        <m:r>
          <m:t>r</m:t>
        </m:r>
        <m:r>
          <m:rPr>
            <m:sty m:val="p"/>
          </m:rPr>
          <m:t>*</m:t>
        </m:r>
        <m:r>
          <m:rPr>
            <m:sty m:val="p"/>
          </m:rPr>
          <m:t>*</m:t>
        </m:r>
      </m:oMath>
      <w:r>
        <w:rPr>
          <w:b/>
          <w:bCs/>
        </w:rPr>
        <w:t xml:space="preserve">1,040</w:t>
      </w:r>
      <w:r>
        <w:t xml:space="preserve">.</w:t>
      </w:r>
    </w:p>
    <w:p>
      <w:pPr>
        <w:pStyle w:val="BodyText"/>
      </w:pPr>
      <w:r>
        <w:t xml:space="preserve">The company has been willing to borrow and use free cash flow aggressively to reduce its share count. At March 31:</w:t>
      </w:r>
    </w:p>
    <w:p>
      <w:pPr>
        <w:pStyle w:val="Compact"/>
        <w:numPr>
          <w:ilvl w:val="0"/>
          <w:numId w:val="1012"/>
        </w:numPr>
      </w:pPr>
      <w:r>
        <w:t xml:space="preserve">Cash and marketable securities totaled approximately</w:t>
      </w:r>
      <w:r>
        <w:t xml:space="preserve"> </w:t>
      </w:r>
      <w:r>
        <w:rPr>
          <w:b/>
          <w:bCs/>
        </w:rPr>
        <w:t xml:space="preserve">$272 million</w:t>
      </w:r>
      <w:r>
        <w:t xml:space="preserve">.</w:t>
      </w:r>
    </w:p>
    <w:p>
      <w:pPr>
        <w:pStyle w:val="Compact"/>
        <w:numPr>
          <w:ilvl w:val="0"/>
          <w:numId w:val="1012"/>
        </w:numPr>
      </w:pPr>
      <w:r>
        <w:t xml:space="preserve">Debt was approximately</w:t>
      </w:r>
      <w:r>
        <w:t xml:space="preserve"> </w:t>
      </w:r>
      <w:r>
        <w:rPr>
          <w:b/>
          <w:bCs/>
        </w:rPr>
        <w:t xml:space="preserve">$3.64 billion</w:t>
      </w:r>
      <w:r>
        <w:t xml:space="preserve">.</w:t>
      </w:r>
    </w:p>
    <w:p>
      <w:pPr>
        <w:pStyle w:val="Compact"/>
        <w:numPr>
          <w:ilvl w:val="0"/>
          <w:numId w:val="1012"/>
        </w:numPr>
      </w:pPr>
      <w:r>
        <w:t xml:space="preserve">The weighted-average interest rate was</w:t>
      </w:r>
      <w:r>
        <w:t xml:space="preserve"> </w:t>
      </w:r>
      <w:r>
        <w:rPr>
          <w:b/>
          <w:bCs/>
        </w:rPr>
        <w:t xml:space="preserve">5.5%</w:t>
      </w:r>
      <w:r>
        <w:t xml:space="preserve">.</w:t>
      </w:r>
    </w:p>
    <w:p>
      <w:pPr>
        <w:pStyle w:val="Compact"/>
        <w:numPr>
          <w:ilvl w:val="0"/>
          <w:numId w:val="1012"/>
        </w:numPr>
      </w:pPr>
      <w:r>
        <w:t xml:space="preserve">The company had $265 million drawn on its revolver.</w:t>
      </w:r>
    </w:p>
    <w:p>
      <w:pPr>
        <w:pStyle w:val="Compact"/>
        <w:numPr>
          <w:ilvl w:val="0"/>
          <w:numId w:val="1012"/>
        </w:numPr>
      </w:pPr>
      <w:r>
        <w:t xml:space="preserve">$1.1 billion remained under the buyback authorization at quarter-end.</w:t>
      </w:r>
    </w:p>
    <w:p>
      <w:pPr>
        <w:pStyle w:val="FirstParagraph"/>
      </w:pPr>
      <w:r>
        <w:t xml:space="preserve">Questions for the report include:</w:t>
      </w:r>
    </w:p>
    <w:p>
      <w:pPr>
        <w:pStyle w:val="Compact"/>
        <w:numPr>
          <w:ilvl w:val="0"/>
          <w:numId w:val="1013"/>
        </w:numPr>
      </w:pPr>
      <w:r>
        <w:t xml:space="preserve">How much stock was repurchased during fiscal 3Q?</w:t>
      </w:r>
    </w:p>
    <w:p>
      <w:pPr>
        <w:pStyle w:val="Compact"/>
        <w:numPr>
          <w:ilvl w:val="0"/>
          <w:numId w:val="1013"/>
        </w:numPr>
      </w:pPr>
      <w:r>
        <w:t xml:space="preserve">Did FICO continue buying aggressively as the share price recovered?</w:t>
      </w:r>
    </w:p>
    <w:p>
      <w:pPr>
        <w:pStyle w:val="Compact"/>
        <w:numPr>
          <w:ilvl w:val="0"/>
          <w:numId w:val="1013"/>
        </w:numPr>
      </w:pPr>
      <w:r>
        <w:t xml:space="preserve">Has revolver usage increased?</w:t>
      </w:r>
    </w:p>
    <w:p>
      <w:pPr>
        <w:pStyle w:val="Compact"/>
        <w:numPr>
          <w:ilvl w:val="0"/>
          <w:numId w:val="1013"/>
        </w:numPr>
      </w:pPr>
      <w:r>
        <w:t xml:space="preserve">What is the current leverage ratio and remaining covenant capacity?</w:t>
      </w:r>
    </w:p>
    <w:p>
      <w:pPr>
        <w:pStyle w:val="Compact"/>
        <w:numPr>
          <w:ilvl w:val="0"/>
          <w:numId w:val="1013"/>
        </w:numPr>
      </w:pPr>
      <w:r>
        <w:t xml:space="preserve">Is management still prioritizing repurchases over deleveraging?</w:t>
      </w:r>
    </w:p>
    <w:p>
      <w:pPr>
        <w:pStyle w:val="FirstParagraph"/>
      </w:pPr>
      <w:r>
        <w:t xml:space="preserve">Buybacks can support EPS meaningfully, but investors should separate</w:t>
      </w:r>
      <w:r>
        <w:t xml:space="preserve"> </w:t>
      </w:r>
      <w:r>
        <w:rPr>
          <w:b/>
          <w:bCs/>
        </w:rPr>
        <w:t xml:space="preserve">per-share growth from underlying net-income growth</w:t>
      </w:r>
      <w:r>
        <w:t xml:space="preserve">, particularly as interest expense rises.</w:t>
      </w:r>
    </w:p>
    <w:p>
      <w:r>
        <w:pict>
          <v:rect style="width:0;height:1.5pt" o:hralign="center" o:hrstd="t" o:hr="t"/>
        </w:pict>
      </w:r>
    </w:p>
    <w:bookmarkEnd w:id="24"/>
    <w:bookmarkStart w:id="25" w:name="stock-setup-and-valuation"/>
    <w:p>
      <w:pPr>
        <w:pStyle w:val="Heading2"/>
      </w:pPr>
      <w:r>
        <w:t xml:space="preserve">Stock setup and valuation</w:t>
      </w:r>
    </w:p>
    <w:p>
      <w:pPr>
        <w:pStyle w:val="FirstParagraph"/>
      </w:pPr>
      <w:r>
        <w:t xml:space="preserve">FICO closed at</w:t>
      </w:r>
      <w:r>
        <w:t xml:space="preserve"> </w:t>
      </w:r>
      <w:r>
        <w:rPr>
          <w:b/>
          <w:bCs/>
        </w:rPr>
        <w:t xml:space="preserve">$1,336.26 on July 28</w:t>
      </w:r>
      <w:r>
        <w:t xml:space="preserve">, approximately:</w:t>
      </w:r>
    </w:p>
    <w:p>
      <w:pPr>
        <w:pStyle w:val="Compact"/>
        <w:numPr>
          <w:ilvl w:val="0"/>
          <w:numId w:val="1014"/>
        </w:numPr>
      </w:pPr>
      <w:r>
        <w:rPr>
          <w:b/>
          <w:bCs/>
        </w:rPr>
        <w:t xml:space="preserve">11% below</w:t>
      </w:r>
      <w:r>
        <w:t xml:space="preserve"> </w:t>
      </w:r>
      <w:r>
        <w:t xml:space="preserve">its level one year earlier.</w:t>
      </w:r>
    </w:p>
    <w:p>
      <w:pPr>
        <w:pStyle w:val="Compact"/>
        <w:numPr>
          <w:ilvl w:val="0"/>
          <w:numId w:val="1014"/>
        </w:numPr>
      </w:pPr>
      <w:r>
        <w:rPr>
          <w:b/>
          <w:bCs/>
        </w:rPr>
        <w:t xml:space="preserve">28% below</w:t>
      </w:r>
      <w:r>
        <w:t xml:space="preserve"> </w:t>
      </w:r>
      <w:r>
        <w:t xml:space="preserve">its October 2025 closing high.</w:t>
      </w:r>
    </w:p>
    <w:p>
      <w:pPr>
        <w:pStyle w:val="Compact"/>
        <w:numPr>
          <w:ilvl w:val="0"/>
          <w:numId w:val="1014"/>
        </w:numPr>
      </w:pPr>
      <w:r>
        <w:rPr>
          <w:b/>
          <w:bCs/>
        </w:rPr>
        <w:t xml:space="preserve">33 times</w:t>
      </w:r>
      <w:r>
        <w:t xml:space="preserve"> </w:t>
      </w:r>
      <w:r>
        <w:t xml:space="preserve">fiscal 2026 guided non-GAAP EPS.</w:t>
      </w:r>
    </w:p>
    <w:p>
      <w:pPr>
        <w:pStyle w:val="Compact"/>
        <w:numPr>
          <w:ilvl w:val="0"/>
          <w:numId w:val="1014"/>
        </w:numPr>
      </w:pPr>
      <w:r>
        <w:rPr>
          <w:b/>
          <w:bCs/>
        </w:rPr>
        <w:t xml:space="preserve">37.5 times</w:t>
      </w:r>
      <w:r>
        <w:t xml:space="preserve"> </w:t>
      </w:r>
      <w:r>
        <w:t xml:space="preserve">fiscal 2026 guided GAAP EPS.</w:t>
      </w:r>
    </w:p>
    <w:p>
      <w:pPr>
        <w:pStyle w:val="FirstParagraph"/>
      </w:pPr>
      <w:r>
        <w:t xml:space="preserve">That is still a substantial valuation, but it is far below the stock’s prior peak multiple. The setup is therefore more balanced than it was before the regulatory and competitive concerns emerged.</w:t>
      </w:r>
    </w:p>
    <w:p>
      <w:pPr>
        <w:pStyle w:val="BodyText"/>
      </w:pPr>
      <w:r>
        <w:t xml:space="preserve">The market appears to be pricing in some erosion of FICO’s long-term mortgage economics, not an imminent collapse in current earnings. A strong quarter alone may not fully resolve that discount; investors will want evidence that the transition to FICO 10T preserves both usage and monetization.</w:t>
      </w:r>
    </w:p>
    <w:p>
      <w:r>
        <w:pict>
          <v:rect style="width:0;height:1.5pt" o:hralign="center" o:hrstd="t" o:hr="t"/>
        </w:pict>
      </w:r>
    </w:p>
    <w:bookmarkEnd w:id="25"/>
    <w:bookmarkStart w:id="29" w:name="earnings-scorecard"/>
    <w:p>
      <w:pPr>
        <w:pStyle w:val="Heading2"/>
      </w:pPr>
      <w:r>
        <w:t xml:space="preserve">Earnings scorecard</w:t>
      </w:r>
    </w:p>
    <w:bookmarkStart w:id="26" w:name="a-clearly-bullish-report-would-include"/>
    <w:p>
      <w:pPr>
        <w:pStyle w:val="Heading3"/>
      </w:pPr>
      <w:r>
        <w:t xml:space="preserve">A clearly bullish report would include</w:t>
      </w:r>
    </w:p>
    <w:p>
      <w:pPr>
        <w:pStyle w:val="Compact"/>
        <w:numPr>
          <w:ilvl w:val="0"/>
          <w:numId w:val="1015"/>
        </w:numPr>
      </w:pPr>
      <w:r>
        <w:t xml:space="preserve">Revenue and EPS ahead of the run rate needed to achieve guidance.</w:t>
      </w:r>
    </w:p>
    <w:p>
      <w:pPr>
        <w:pStyle w:val="Compact"/>
        <w:numPr>
          <w:ilvl w:val="0"/>
          <w:numId w:val="1015"/>
        </w:numPr>
      </w:pPr>
      <w:r>
        <w:t xml:space="preserve">Another increase to fiscal 2026 guidance—or guidance maintained with conspicuous conservatism.</w:t>
      </w:r>
    </w:p>
    <w:p>
      <w:pPr>
        <w:pStyle w:val="Compact"/>
        <w:numPr>
          <w:ilvl w:val="0"/>
          <w:numId w:val="1015"/>
        </w:numPr>
      </w:pPr>
      <w:r>
        <w:t xml:space="preserve">Strong mortgage volumes in addition to pricing.</w:t>
      </w:r>
    </w:p>
    <w:p>
      <w:pPr>
        <w:pStyle w:val="Compact"/>
        <w:numPr>
          <w:ilvl w:val="0"/>
          <w:numId w:val="1015"/>
        </w:numPr>
      </w:pPr>
      <w:r>
        <w:t xml:space="preserve">No observed FICO volume loss to VantageScore.</w:t>
      </w:r>
    </w:p>
    <w:p>
      <w:pPr>
        <w:pStyle w:val="Compact"/>
        <w:numPr>
          <w:ilvl w:val="0"/>
          <w:numId w:val="1015"/>
        </w:numPr>
      </w:pPr>
      <w:r>
        <w:t xml:space="preserve">Concrete progress on direct licensing and FICO 10T.</w:t>
      </w:r>
    </w:p>
    <w:p>
      <w:pPr>
        <w:pStyle w:val="Compact"/>
        <w:numPr>
          <w:ilvl w:val="0"/>
          <w:numId w:val="1015"/>
        </w:numPr>
      </w:pPr>
      <w:r>
        <w:t xml:space="preserve">Platform ARR growth in the mid-30% range or better excluding migrations.</w:t>
      </w:r>
    </w:p>
    <w:p>
      <w:pPr>
        <w:pStyle w:val="Compact"/>
        <w:numPr>
          <w:ilvl w:val="0"/>
          <w:numId w:val="1015"/>
        </w:numPr>
      </w:pPr>
      <w:r>
        <w:t xml:space="preserve">Total Software ARR growth accelerating.</w:t>
      </w:r>
    </w:p>
    <w:p>
      <w:pPr>
        <w:pStyle w:val="Compact"/>
        <w:numPr>
          <w:ilvl w:val="0"/>
          <w:numId w:val="1015"/>
        </w:numPr>
      </w:pPr>
      <w:r>
        <w:t xml:space="preserve">Continued strong free cash flow and accretive buybacks.</w:t>
      </w:r>
    </w:p>
    <w:bookmarkEnd w:id="26"/>
    <w:bookmarkStart w:id="27" w:name="a-mixed-report-would-include"/>
    <w:p>
      <w:pPr>
        <w:pStyle w:val="Heading3"/>
      </w:pPr>
      <w:r>
        <w:t xml:space="preserve">A mixed report would include</w:t>
      </w:r>
    </w:p>
    <w:p>
      <w:pPr>
        <w:pStyle w:val="Compact"/>
        <w:numPr>
          <w:ilvl w:val="0"/>
          <w:numId w:val="1016"/>
        </w:numPr>
      </w:pPr>
      <w:r>
        <w:t xml:space="preserve">Strong headline earnings driven mainly by mortgage pricing.</w:t>
      </w:r>
    </w:p>
    <w:p>
      <w:pPr>
        <w:pStyle w:val="Compact"/>
        <w:numPr>
          <w:ilvl w:val="0"/>
          <w:numId w:val="1016"/>
        </w:numPr>
      </w:pPr>
      <w:r>
        <w:t xml:space="preserve">Sequential normalization from fiscal 2Q.</w:t>
      </w:r>
    </w:p>
    <w:p>
      <w:pPr>
        <w:pStyle w:val="Compact"/>
        <w:numPr>
          <w:ilvl w:val="0"/>
          <w:numId w:val="1016"/>
        </w:numPr>
      </w:pPr>
      <w:r>
        <w:t xml:space="preserve">Guidance maintained rather than raised.</w:t>
      </w:r>
    </w:p>
    <w:p>
      <w:pPr>
        <w:pStyle w:val="Compact"/>
        <w:numPr>
          <w:ilvl w:val="0"/>
          <w:numId w:val="1016"/>
        </w:numPr>
      </w:pPr>
      <w:r>
        <w:t xml:space="preserve">Good Platform growth but continued double-digit non-platform erosion.</w:t>
      </w:r>
    </w:p>
    <w:p>
      <w:pPr>
        <w:pStyle w:val="Compact"/>
        <w:numPr>
          <w:ilvl w:val="0"/>
          <w:numId w:val="1016"/>
        </w:numPr>
      </w:pPr>
      <w:r>
        <w:t xml:space="preserve">Limited new information on 10T or FHFA timing.</w:t>
      </w:r>
    </w:p>
    <w:bookmarkEnd w:id="27"/>
    <w:bookmarkStart w:id="28" w:name="a-bearish-report-would-include"/>
    <w:p>
      <w:pPr>
        <w:pStyle w:val="Heading3"/>
      </w:pPr>
      <w:r>
        <w:t xml:space="preserve">A bearish report would include</w:t>
      </w:r>
    </w:p>
    <w:p>
      <w:pPr>
        <w:pStyle w:val="Compact"/>
        <w:numPr>
          <w:ilvl w:val="0"/>
          <w:numId w:val="1017"/>
        </w:numPr>
      </w:pPr>
      <w:r>
        <w:t xml:space="preserve">Scores growth or mortgage volumes materially below expectations.</w:t>
      </w:r>
    </w:p>
    <w:p>
      <w:pPr>
        <w:pStyle w:val="Compact"/>
        <w:numPr>
          <w:ilvl w:val="0"/>
          <w:numId w:val="1017"/>
        </w:numPr>
      </w:pPr>
      <w:r>
        <w:t xml:space="preserve">Any acknowledgment of actual FICO pull-volume loss.</w:t>
      </w:r>
    </w:p>
    <w:p>
      <w:pPr>
        <w:pStyle w:val="Compact"/>
        <w:numPr>
          <w:ilvl w:val="0"/>
          <w:numId w:val="1017"/>
        </w:numPr>
      </w:pPr>
      <w:r>
        <w:t xml:space="preserve">A delay in direct licensing without a credible implementation timetable.</w:t>
      </w:r>
    </w:p>
    <w:p>
      <w:pPr>
        <w:pStyle w:val="Compact"/>
        <w:numPr>
          <w:ilvl w:val="0"/>
          <w:numId w:val="1017"/>
        </w:numPr>
      </w:pPr>
      <w:r>
        <w:t xml:space="preserve">Lower full-year guidance or materially higher expense assumptions.</w:t>
      </w:r>
    </w:p>
    <w:p>
      <w:pPr>
        <w:pStyle w:val="Compact"/>
        <w:numPr>
          <w:ilvl w:val="0"/>
          <w:numId w:val="1017"/>
        </w:numPr>
      </w:pPr>
      <w:r>
        <w:t xml:space="preserve">Platform growth slowing sharply after excluding migrations.</w:t>
      </w:r>
    </w:p>
    <w:p>
      <w:pPr>
        <w:pStyle w:val="Compact"/>
        <w:numPr>
          <w:ilvl w:val="0"/>
          <w:numId w:val="1017"/>
        </w:numPr>
      </w:pPr>
      <w:r>
        <w:t xml:space="preserve">Rising leverage and interest expense without corresponding free-cash-flow growth.</w:t>
      </w:r>
    </w:p>
    <w:p>
      <w:r>
        <w:pict>
          <v:rect style="width:0;height:1.5pt" o:hralign="center" o:hrstd="t" o:hr="t"/>
        </w:pict>
      </w:r>
    </w:p>
    <w:bookmarkEnd w:id="28"/>
    <w:bookmarkEnd w:id="29"/>
    <w:bookmarkStart w:id="30" w:name="bottom-line"/>
    <w:p>
      <w:pPr>
        <w:pStyle w:val="Heading2"/>
      </w:pPr>
      <w:r>
        <w:t xml:space="preserve">Bottom line</w:t>
      </w:r>
    </w:p>
    <w:p>
      <w:pPr>
        <w:pStyle w:val="FirstParagraph"/>
      </w:pPr>
      <w:r>
        <w:t xml:space="preserve">This report is less about whether FICO can post another strong quarter—the mortgage-pricing reset makes strong year-over-year results likely—and more about the</w:t>
      </w:r>
      <w:r>
        <w:t xml:space="preserve"> </w:t>
      </w:r>
      <w:r>
        <w:rPr>
          <w:b/>
          <w:bCs/>
        </w:rPr>
        <w:t xml:space="preserve">durability and transition path</w:t>
      </w:r>
      <w:r>
        <w:t xml:space="preserve"> </w:t>
      </w:r>
      <w:r>
        <w:t xml:space="preserve">of those earnings.</w:t>
      </w:r>
    </w:p>
    <w:p>
      <w:pPr>
        <w:pStyle w:val="BodyText"/>
      </w:pPr>
      <w:r>
        <w:t xml:space="preserve">The most important disclosure will be management’s update on FICO 10T, direct licensing and VantageScore. If FICO can demonstrate that it retains score volume, preserves unit economics and successfully shifts toward performance-based licensing, the current earnings power could prove durable. If regulatory implementation remains uncertain or management’s confidence on volume begins to soften, investors may continue to discount even excellent near-term numbers.</w:t>
      </w:r>
    </w:p>
    <w:p>
      <w:pPr>
        <w:pStyle w:val="BodyText"/>
      </w:pPr>
      <w:r>
        <w:t xml:space="preserve">On the financial side, the cleanest indicators are</w:t>
      </w:r>
      <w:r>
        <w:t xml:space="preserve"> </w:t>
      </w:r>
      <w:r>
        <w:rPr>
          <w:b/>
          <w:bCs/>
        </w:rPr>
        <w:t xml:space="preserve">Scores growth split between price and volume, Platform ARR excluding migrations, consolidated margins, fiscal 2026 guidance and the scale of fiscal 3Q repurchases</w:t>
      </w:r>
      <w:r>
        <w:t xml:space="preserve">.</w:t>
      </w:r>
    </w:p>
    <w:bookmarkEnd w:id="30"/>
    <w:bookmarkEnd w:id="31"/>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2026-07-29T01:29:27Z</dcterms:created>
  <dcterms:modified xsi:type="dcterms:W3CDTF">2026-07-29T01:29:27Z</dcterms:modified>
</cp:coreProperties>
</file>

<file path=docProps/custom.xml><?xml version="1.0" encoding="utf-8"?>
<Properties xmlns="http://schemas.openxmlformats.org/officeDocument/2006/custom-properties" xmlns:vt="http://schemas.openxmlformats.org/officeDocument/2006/docPropsVTypes"/>
</file>