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d101a133971b6c3cf2d863339505fc2a3c765ba"/>
    <w:p>
      <w:pPr>
        <w:pStyle w:val="Heading1"/>
      </w:pPr>
      <w:r>
        <w:t xml:space="preserve">FICO (NYSE: FICO) — Fiscal 3Q26 Earnings Preview</w:t>
      </w:r>
    </w:p>
    <w:p>
      <w:pPr>
        <w:pStyle w:val="BlockText"/>
      </w:pPr>
      <w:r>
        <w:rPr>
          <w:b/>
          <w:bCs/>
        </w:rPr>
        <w:t xml:space="preserve">Date clarification:</w:t>
      </w:r>
      <w:r>
        <w:t xml:space="preserve"> </w:t>
      </w:r>
      <w:r>
        <w:t xml:space="preserve">The earnings event date cited—</w:t>
      </w:r>
      <w:r>
        <w:rPr>
          <w:b/>
          <w:bCs/>
        </w:rPr>
        <w:t xml:space="preserve">Wednesday, July 29, 2026</w:t>
      </w:r>
      <w:r>
        <w:t xml:space="preserve">—is</w:t>
      </w:r>
      <w:r>
        <w:t xml:space="preserve"> </w:t>
      </w:r>
      <w:r>
        <w:rPr>
          <w:b/>
          <w:bCs/>
        </w:rPr>
        <w:t xml:space="preserve">today</w:t>
      </w:r>
      <w:r>
        <w:t xml:space="preserve">, not tomorrow. This preview is framed ahead of the report, using the July 28 closing share price.</w:t>
      </w:r>
    </w:p>
    <w:bookmarkStart w:id="9" w:name="Xb93ebbd345ca9049cc1101b4c503e07ef67e559"/>
    <w:p>
      <w:pPr>
        <w:pStyle w:val="Heading2"/>
      </w:pPr>
      <w:r>
        <w:t xml:space="preserve">Investment view: the quarter is about</w:t>
      </w:r>
      <w:r>
        <w:t xml:space="preserve"> </w:t>
      </w:r>
      <w:r>
        <w:rPr>
          <w:i/>
          <w:iCs/>
        </w:rPr>
        <w:t xml:space="preserve">quality and durability</w:t>
      </w:r>
      <w:r>
        <w:t xml:space="preserve"> </w:t>
      </w:r>
      <w:r>
        <w:t xml:space="preserve">of growth, not simply an EPS beat</w:t>
      </w:r>
    </w:p>
    <w:p>
      <w:pPr>
        <w:pStyle w:val="FirstParagraph"/>
      </w:pPr>
      <w:r>
        <w:t xml:space="preserve">FICO enters fiscal 3Q26 with operating momentum that is unusually strong: fiscal 2Q revenue rose</w:t>
      </w:r>
      <w:r>
        <w:t xml:space="preserve"> </w:t>
      </w:r>
      <w:r>
        <w:rPr>
          <w:b/>
          <w:bCs/>
        </w:rPr>
        <w:t xml:space="preserve">39% year over year</w:t>
      </w:r>
      <w:r>
        <w:t xml:space="preserve"> </w:t>
      </w:r>
      <w:r>
        <w:t xml:space="preserve">to</w:t>
      </w:r>
      <w:r>
        <w:t xml:space="preserve"> </w:t>
      </w:r>
      <m:oMath>
        <m:r>
          <m:t>692</m:t>
        </m:r>
        <m:r>
          <m:t>m</m:t>
        </m:r>
        <m:r>
          <m:t>i</m:t>
        </m:r>
        <m:r>
          <m:t>l</m:t>
        </m:r>
        <m:r>
          <m:t>l</m:t>
        </m:r>
        <m:r>
          <m:t>i</m:t>
        </m:r>
        <m:r>
          <m:t>o</m:t>
        </m:r>
        <m:r>
          <m:t>n</m:t>
        </m:r>
        <m:r>
          <m:rPr>
            <m:sty m:val="p"/>
          </m:rPr>
          <m:t>*</m:t>
        </m:r>
        <m:r>
          <m:rPr>
            <m:sty m:val="p"/>
          </m:rPr>
          <m:t>*</m:t>
        </m:r>
        <m:r>
          <m:rPr>
            <m:sty m:val="p"/>
          </m:rPr>
          <m:t>,</m:t>
        </m:r>
        <m:r>
          <m:t>n</m:t>
        </m:r>
        <m:r>
          <m:t>o</m:t>
        </m:r>
        <m:r>
          <m:t>n</m:t>
        </m:r>
        <m:r>
          <m:rPr>
            <m:sty m:val="p"/>
          </m:rPr>
          <m:t>−</m:t>
        </m:r>
        <m:r>
          <m:t>G</m:t>
        </m:r>
        <m:r>
          <m:t>A</m:t>
        </m:r>
        <m:r>
          <m:t>A</m:t>
        </m:r>
        <m:r>
          <m:t>P</m:t>
        </m:r>
        <m:r>
          <m:t>E</m:t>
        </m:r>
        <m:r>
          <m:t>P</m:t>
        </m:r>
        <m:r>
          <m:t>S</m:t>
        </m:r>
        <m:r>
          <m:t>r</m:t>
        </m:r>
        <m:r>
          <m:t>o</m:t>
        </m:r>
        <m:r>
          <m:t>s</m:t>
        </m:r>
        <m:r>
          <m:t>e</m:t>
        </m:r>
        <m:r>
          <m:rPr>
            <m:sty m:val="p"/>
          </m:rPr>
          <m:t>*</m:t>
        </m:r>
        <m:r>
          <m:rPr>
            <m:sty m:val="p"/>
          </m:rPr>
          <m:t>*</m:t>
        </m:r>
        <m:r>
          <m:t>60</m:t>
        </m:r>
      </m:oMath>
      <w:r>
        <w:rPr>
          <w:b/>
          <w:bCs/>
        </w:rPr>
        <w:t xml:space="preserve">12.50</w:t>
      </w:r>
      <w:r>
        <w:t xml:space="preserve">, and management raised FY26 revenue guidance to</w:t>
      </w:r>
      <w:r>
        <w:t xml:space="preserve"> </w:t>
      </w:r>
      <m:oMath>
        <m:r>
          <m:t>2.45</m:t>
        </m:r>
        <m:r>
          <m:t>b</m:t>
        </m:r>
        <m:r>
          <m:t>i</m:t>
        </m:r>
        <m:r>
          <m:t>l</m:t>
        </m:r>
        <m:r>
          <m:t>l</m:t>
        </m:r>
        <m:r>
          <m:t>i</m:t>
        </m:r>
        <m:r>
          <m:t>o</m:t>
        </m:r>
        <m:r>
          <m:t>n</m:t>
        </m:r>
        <m:r>
          <m:rPr>
            <m:sty m:val="p"/>
          </m:rPr>
          <m:t>*</m:t>
        </m:r>
        <m:r>
          <m:rPr>
            <m:sty m:val="p"/>
          </m:rPr>
          <m:t>*</m:t>
        </m:r>
        <m:r>
          <m:t>a</m:t>
        </m:r>
        <m:r>
          <m:t>n</m:t>
        </m:r>
        <m:r>
          <m:t>d</m:t>
        </m:r>
        <m:r>
          <m:t>n</m:t>
        </m:r>
        <m:r>
          <m:t>o</m:t>
        </m:r>
        <m:r>
          <m:t>n</m:t>
        </m:r>
        <m:r>
          <m:rPr>
            <m:sty m:val="p"/>
          </m:rPr>
          <m:t>−</m:t>
        </m:r>
        <m:r>
          <m:t>G</m:t>
        </m:r>
        <m:r>
          <m:t>A</m:t>
        </m:r>
        <m:r>
          <m:t>A</m:t>
        </m:r>
        <m:r>
          <m:t>P</m:t>
        </m:r>
        <m:r>
          <m:t>E</m:t>
        </m:r>
        <m:r>
          <m:t>P</m:t>
        </m:r>
        <m:r>
          <m:t>S</m:t>
        </m:r>
        <m:r>
          <m:t>g</m:t>
        </m:r>
        <m:r>
          <m:t>u</m:t>
        </m:r>
        <m:r>
          <m:t>i</m:t>
        </m:r>
        <m:r>
          <m:t>d</m:t>
        </m:r>
        <m:r>
          <m:t>a</m:t>
        </m:r>
        <m:r>
          <m:t>n</m:t>
        </m:r>
        <m:r>
          <m:t>c</m:t>
        </m:r>
        <m:r>
          <m:t>e</m:t>
        </m:r>
        <m:r>
          <m:t>t</m:t>
        </m:r>
        <m:r>
          <m:t>o</m:t>
        </m:r>
        <m:r>
          <m:rPr>
            <m:sty m:val="p"/>
          </m:rPr>
          <m:t>*</m:t>
        </m:r>
        <m:r>
          <m:rPr>
            <m:sty m:val="p"/>
          </m:rPr>
          <m:t>*</m:t>
        </m:r>
      </m:oMath>
      <w:r>
        <w:rPr>
          <w:b/>
          <w:bCs/>
        </w:rPr>
        <w:t xml:space="preserve">40.45</w:t>
      </w:r>
      <w:r>
        <w:t xml:space="preserve">. The main question for investors is whether FICO can sustain the Scores segment’s exceptional mortgage-led growth while continuing to translate Software platform adoption into durable ARR and revenue growth.</w:t>
      </w:r>
    </w:p>
    <w:p>
      <w:pPr>
        <w:pStyle w:val="BodyText"/>
      </w:pPr>
      <w:r>
        <w:t xml:space="preserve">The stock closed at</w:t>
      </w:r>
      <w:r>
        <w:t xml:space="preserve"> </w:t>
      </w:r>
      <w:r>
        <w:rPr>
          <w:b/>
          <w:bCs/>
        </w:rPr>
        <w:t xml:space="preserve">$1,336.26 on July 28</w:t>
      </w:r>
      <w:r>
        <w:t xml:space="preserve">, up about</w:t>
      </w:r>
      <w:r>
        <w:t xml:space="preserve"> </w:t>
      </w:r>
      <w:r>
        <w:rPr>
          <w:b/>
          <w:bCs/>
        </w:rPr>
        <w:t xml:space="preserve">32%</w:t>
      </w:r>
      <w:r>
        <w:t xml:space="preserve"> </w:t>
      </w:r>
      <w:r>
        <w:t xml:space="preserve">from the April 28 close immediately before the last earnings release. That appreciation raises the threshold for the report: evidence that FY26 guidance remains conservative—or another raise—matters more than a narrow quarterly beat. At the current price, FICO trades at roughly</w:t>
      </w:r>
      <w:r>
        <w:t xml:space="preserve"> </w:t>
      </w:r>
      <w:r>
        <w:rPr>
          <w:b/>
          <w:bCs/>
        </w:rPr>
        <w:t xml:space="preserve">33x FY26 management-guidance non-GAAP EPS</w:t>
      </w:r>
      <w:r>
        <w:t xml:space="preserve">; this is a premium valuation that requires continued execution in Scores, credible platform expansion, and contained regulatory disruption.</w:t>
      </w:r>
    </w:p>
    <w:p>
      <w:r>
        <w:pict>
          <v:rect style="width:0;height:1.5pt" o:hralign="center" o:hrstd="t" o:hr="t"/>
        </w:pict>
      </w:r>
    </w:p>
    <w:bookmarkEnd w:id="9"/>
    <w:bookmarkStart w:id="13" w:name="what-matters-most"/>
    <w:p>
      <w:pPr>
        <w:pStyle w:val="Heading2"/>
      </w:pPr>
      <w:r>
        <w:t xml:space="preserve">What matters most</w:t>
      </w:r>
    </w:p>
    <w:bookmarkStart w:id="10" w:name="X3637c2190d9e3f0cec1bbee743cab9bee73b528"/>
    <w:p>
      <w:pPr>
        <w:pStyle w:val="Heading3"/>
      </w:pPr>
      <w:r>
        <w:t xml:space="preserve">1. Scores: can mortgage remain powerful without becoming the entire thesis?</w:t>
      </w:r>
    </w:p>
    <w:p>
      <w:pPr>
        <w:pStyle w:val="FirstParagraph"/>
      </w:pPr>
      <w:r>
        <w:t xml:space="preserve">Scores revenue grew</w:t>
      </w:r>
      <w:r>
        <w:t xml:space="preserve"> </w:t>
      </w:r>
      <w:r>
        <w:rPr>
          <w:b/>
          <w:bCs/>
        </w:rPr>
        <w:t xml:space="preserve">60%</w:t>
      </w:r>
      <w:r>
        <w:t xml:space="preserve"> </w:t>
      </w:r>
      <w:r>
        <w:t xml:space="preserve">in fiscal 2Q26 to</w:t>
      </w:r>
      <w:r>
        <w:t xml:space="preserve"> </w:t>
      </w:r>
      <m:oMath>
        <m:r>
          <m:t>475</m:t>
        </m:r>
        <m:r>
          <m:t>m</m:t>
        </m:r>
        <m:r>
          <m:t>i</m:t>
        </m:r>
        <m:r>
          <m:t>l</m:t>
        </m:r>
        <m:r>
          <m:t>l</m:t>
        </m:r>
        <m:r>
          <m:t>i</m:t>
        </m:r>
        <m:r>
          <m:t>o</m:t>
        </m:r>
        <m:r>
          <m:t>n</m:t>
        </m:r>
        <m:r>
          <m:rPr>
            <m:sty m:val="p"/>
          </m:rPr>
          <m:t>*</m:t>
        </m:r>
        <m:r>
          <m:rPr>
            <m:sty m:val="p"/>
          </m:rPr>
          <m:t>*</m:t>
        </m:r>
        <m:r>
          <m:rPr>
            <m:sty m:val="p"/>
          </m:rPr>
          <m:t>.</m:t>
        </m:r>
        <m:r>
          <m:t>B</m:t>
        </m:r>
        <m:r>
          <m:t>2</m:t>
        </m:r>
        <m:r>
          <m:t>B</m:t>
        </m:r>
        <m:r>
          <m:t>S</m:t>
        </m:r>
        <m:r>
          <m:t>c</m:t>
        </m:r>
        <m:r>
          <m:t>o</m:t>
        </m:r>
        <m:r>
          <m:t>r</m:t>
        </m:r>
        <m:r>
          <m:t>e</m:t>
        </m:r>
        <m:r>
          <m:t>s</m:t>
        </m:r>
        <m:r>
          <m:t>r</m:t>
        </m:r>
        <m:r>
          <m:t>o</m:t>
        </m:r>
        <m:r>
          <m:t>s</m:t>
        </m:r>
        <m:r>
          <m:t>e</m:t>
        </m:r>
        <m:r>
          <m:rPr>
            <m:sty m:val="p"/>
          </m:rPr>
          <m:t>*</m:t>
        </m:r>
        <m:r>
          <m:rPr>
            <m:sty m:val="p"/>
          </m:rPr>
          <m:t>*</m:t>
        </m:r>
        <m:r>
          <m:t>72</m:t>
        </m:r>
      </m:oMath>
      <w:r>
        <w:rPr>
          <w:b/>
          <w:bCs/>
        </w:rPr>
        <w:t xml:space="preserve">432 million</w:t>
      </w:r>
      <w:r>
        <w:t xml:space="preserve"> </w:t>
      </w:r>
      <w:r>
        <w:t xml:space="preserve">on $475 million of revenue.</w:t>
      </w:r>
    </w:p>
    <w:p>
      <w:pPr>
        <w:pStyle w:val="BodyText"/>
      </w:pPr>
      <w:r>
        <w:t xml:space="preserve">For 3Q, investors should focus on:</w:t>
      </w:r>
    </w:p>
    <w:p>
      <w:pPr>
        <w:pStyle w:val="Compact"/>
        <w:numPr>
          <w:ilvl w:val="0"/>
          <w:numId w:val="1001"/>
        </w:numPr>
      </w:pPr>
      <w:r>
        <w:rPr>
          <w:b/>
          <w:bCs/>
        </w:rPr>
        <w:t xml:space="preserve">Mortgage-originations revenue growth and volume commentary.</w:t>
      </w:r>
      <w:r>
        <w:t xml:space="preserve"> </w:t>
      </w:r>
      <w:r>
        <w:t xml:space="preserve">The fiscal 2Q comparison benefited from pricing and better-than-expected mortgage volumes. Management said its full-year outlook continued to use conservative volume assumptions, so another strong mortgage-volume quarter could create upside.</w:t>
      </w:r>
    </w:p>
    <w:p>
      <w:pPr>
        <w:pStyle w:val="Compact"/>
        <w:numPr>
          <w:ilvl w:val="0"/>
          <w:numId w:val="1001"/>
        </w:numPr>
      </w:pPr>
      <w:r>
        <w:rPr>
          <w:b/>
          <w:bCs/>
        </w:rPr>
        <w:t xml:space="preserve">Growth outside mortgage.</w:t>
      </w:r>
      <w:r>
        <w:t xml:space="preserve"> </w:t>
      </w:r>
      <w:r>
        <w:t xml:space="preserve">In 2Q, auto-originations Scores revenue increased 13%, while credit card, personal-loan, and other-originations revenue increased 6%. Broad-based growth would reduce concern that FICO’s results are becoming too mortgage-dependent.</w:t>
      </w:r>
    </w:p>
    <w:p>
      <w:pPr>
        <w:pStyle w:val="Compact"/>
        <w:numPr>
          <w:ilvl w:val="0"/>
          <w:numId w:val="1001"/>
        </w:numPr>
      </w:pPr>
      <w:r>
        <w:rPr>
          <w:b/>
          <w:bCs/>
        </w:rPr>
        <w:t xml:space="preserve">B2C Scores.</w:t>
      </w:r>
      <w:r>
        <w:t xml:space="preserve"> </w:t>
      </w:r>
      <w:r>
        <w:t xml:space="preserve">B2C grew 5% in 2Q, its sixth consecutive quarter of growth. This is less material financially than B2B, but sustained growth helps reinforce the consumer franchise.</w:t>
      </w:r>
    </w:p>
    <w:p>
      <w:pPr>
        <w:pStyle w:val="Compact"/>
        <w:numPr>
          <w:ilvl w:val="0"/>
          <w:numId w:val="1001"/>
        </w:numPr>
      </w:pPr>
      <w:r>
        <w:rPr>
          <w:b/>
          <w:bCs/>
        </w:rPr>
        <w:t xml:space="preserve">The comparison base.</w:t>
      </w:r>
      <w:r>
        <w:t xml:space="preserve"> </w:t>
      </w:r>
      <w:r>
        <w:t xml:space="preserve">Fiscal 3Q25 Scores revenue rose 34%, aided by higher unit pricing, greater mortgage volume, and a multi-year U.S. insurance-score license renewal. That makes the year-over-year setup more demanding than it was in 2Q.</w:t>
      </w:r>
    </w:p>
    <w:p>
      <w:pPr>
        <w:pStyle w:val="FirstParagraph"/>
      </w:pPr>
      <w:r>
        <w:rPr>
          <w:b/>
          <w:bCs/>
        </w:rPr>
        <w:t xml:space="preserve">Read-through:</w:t>
      </w:r>
      <w:r>
        <w:t xml:space="preserve"> </w:t>
      </w:r>
      <w:r>
        <w:t xml:space="preserve">A positive report would show continued elevated mortgage growth, stable-to-improving non-mortgage demand, and management confidence that the recent mortgage strength is not merely a short-lived rate-driven spike.</w:t>
      </w:r>
    </w:p>
    <w:p>
      <w:r>
        <w:pict>
          <v:rect style="width:0;height:1.5pt" o:hralign="center" o:hrstd="t" o:hr="t"/>
        </w:pict>
      </w:r>
    </w:p>
    <w:bookmarkEnd w:id="10"/>
    <w:bookmarkStart w:id="11" w:name="Xa1b1bb72ac5ce2632727546c5c6635395b6f6b2"/>
    <w:p>
      <w:pPr>
        <w:pStyle w:val="Heading3"/>
      </w:pPr>
      <w:r>
        <w:t xml:space="preserve">2. Mortgage-score modernization: an important catalyst, but also the key headline risk</w:t>
      </w:r>
    </w:p>
    <w:p>
      <w:pPr>
        <w:pStyle w:val="FirstParagraph"/>
      </w:pPr>
      <w:r>
        <w:t xml:space="preserve">The mortgage-market transition remains the central strategic issue. At the prior call, FICO said:</w:t>
      </w:r>
    </w:p>
    <w:p>
      <w:pPr>
        <w:pStyle w:val="Compact"/>
        <w:numPr>
          <w:ilvl w:val="0"/>
          <w:numId w:val="1002"/>
        </w:numPr>
      </w:pPr>
      <w:r>
        <w:t xml:space="preserve">It had reduced FICO Score 10T direct-license pricing to</w:t>
      </w:r>
      <w:r>
        <w:t xml:space="preserve"> </w:t>
      </w:r>
      <w:r>
        <w:rPr>
          <w:b/>
          <w:bCs/>
        </w:rPr>
        <w:t xml:space="preserve">$0.99 per score plus a $65 funding fee</w:t>
      </w:r>
      <w:r>
        <w:t xml:space="preserve">.</w:t>
      </w:r>
    </w:p>
    <w:p>
      <w:pPr>
        <w:pStyle w:val="Compact"/>
        <w:numPr>
          <w:ilvl w:val="0"/>
          <w:numId w:val="1002"/>
        </w:numPr>
      </w:pPr>
      <w:r>
        <w:rPr>
          <w:b/>
          <w:bCs/>
        </w:rPr>
        <w:t xml:space="preserve">Three of the five largest resellers</w:t>
      </w:r>
      <w:r>
        <w:t xml:space="preserve"> </w:t>
      </w:r>
      <w:r>
        <w:t xml:space="preserve">had signed up, with discussions advanced with the other two.</w:t>
      </w:r>
    </w:p>
    <w:p>
      <w:pPr>
        <w:pStyle w:val="Compact"/>
        <w:numPr>
          <w:ilvl w:val="0"/>
          <w:numId w:val="1002"/>
        </w:numPr>
      </w:pPr>
      <w:r>
        <w:t xml:space="preserve">The outstanding major hurdle was FHFA approval for resellers to calculate the score.</w:t>
      </w:r>
    </w:p>
    <w:p>
      <w:pPr>
        <w:pStyle w:val="Compact"/>
        <w:numPr>
          <w:ilvl w:val="0"/>
          <w:numId w:val="1002"/>
        </w:numPr>
      </w:pPr>
      <w:r>
        <w:t xml:space="preserve">The company expected</w:t>
      </w:r>
      <w:r>
        <w:t xml:space="preserve"> </w:t>
      </w:r>
      <w:r>
        <w:rPr>
          <w:b/>
          <w:bCs/>
        </w:rPr>
        <w:t xml:space="preserve">no volume loss to VantageScore during FY26</w:t>
      </w:r>
      <w:r>
        <w:t xml:space="preserve">.</w:t>
      </w:r>
    </w:p>
    <w:p>
      <w:pPr>
        <w:pStyle w:val="Compact"/>
        <w:numPr>
          <w:ilvl w:val="0"/>
          <w:numId w:val="1002"/>
        </w:numPr>
      </w:pPr>
      <w:r>
        <w:t xml:space="preserve">The performance-based pricing model was expected to be broadly revenue-neutral over time, though it could shift some revenue from late FY26 into FY27 because the funding fee is collected later.</w:t>
      </w:r>
    </w:p>
    <w:p>
      <w:pPr>
        <w:pStyle w:val="FirstParagraph"/>
      </w:pPr>
      <w:r>
        <w:t xml:space="preserve">The most valuable update this quarter would be tangible progress on direct licensing: full reseller participation, regulatory approval, a launch timetable, or early lender adoption. Conversely, another delay would probably not impair the near-term income statement much, but it could sustain investor concern about execution and the eventual competitive structure of conforming mortgage credit.</w:t>
      </w:r>
    </w:p>
    <w:p>
      <w:pPr>
        <w:pStyle w:val="BodyText"/>
      </w:pPr>
      <w:r>
        <w:t xml:space="preserve">Management’s prior stance was clear: FICO believes it is competitive with VantageScore on upfront price and superior on predictive performance. Investors should listen closely for whether that confidence remains unchanged, particularly around lender behavior, GSE implementation details, use of multiple scores, and the timing of FICO Score 10T data availability.</w:t>
      </w:r>
    </w:p>
    <w:p>
      <w:r>
        <w:pict>
          <v:rect style="width:0;height:1.5pt" o:hralign="center" o:hrstd="t" o:hr="t"/>
        </w:pict>
      </w:r>
    </w:p>
    <w:bookmarkEnd w:id="11"/>
    <w:bookmarkStart w:id="12" w:name="X097ef01505870494820c0ba88a6ac900a02e7ea"/>
    <w:p>
      <w:pPr>
        <w:pStyle w:val="Heading3"/>
      </w:pPr>
      <w:r>
        <w:t xml:space="preserve">3. Software: platform metrics must begin to translate into more visible segment growth</w:t>
      </w:r>
    </w:p>
    <w:p>
      <w:pPr>
        <w:pStyle w:val="FirstParagraph"/>
      </w:pPr>
      <w:r>
        <w:t xml:space="preserve">The Software business is the more nuanced part of the earnings story. Fiscal 2Q Software revenue grew</w:t>
      </w:r>
      <w:r>
        <w:t xml:space="preserve"> </w:t>
      </w:r>
      <w:r>
        <w:rPr>
          <w:b/>
          <w:bCs/>
        </w:rPr>
        <w:t xml:space="preserve">7%</w:t>
      </w:r>
      <w:r>
        <w:t xml:space="preserve"> </w:t>
      </w:r>
      <w:r>
        <w:t xml:space="preserve">to</w:t>
      </w:r>
      <w:r>
        <w:t xml:space="preserve"> </w:t>
      </w:r>
      <w:r>
        <w:rPr>
          <w:b/>
          <w:bCs/>
        </w:rPr>
        <w:t xml:space="preserve">$217 million</w:t>
      </w:r>
      <w:r>
        <w:t xml:space="preserve">, but the internal mix was much stronger than the aggregate headline: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Fiscal 2Q26 Software metric</w:t>
            </w:r>
          </w:p>
        </w:tc>
        <w:tc>
          <w:tcPr/>
          <w:p>
            <w:pPr>
              <w:pStyle w:val="Compact"/>
              <w:jc w:val="right"/>
            </w:pPr>
            <w:r>
              <w:t xml:space="preserve">Result</w:t>
            </w:r>
          </w:p>
        </w:tc>
      </w:tr>
      <w:tr>
        <w:tc>
          <w:tcPr/>
          <w:p>
            <w:pPr>
              <w:pStyle w:val="Compact"/>
            </w:pPr>
            <w:r>
              <w:t xml:space="preserve">Total Software ARR</w:t>
            </w:r>
          </w:p>
        </w:tc>
        <w:tc>
          <w:tcPr/>
          <w:p>
            <w:pPr>
              <w:pStyle w:val="Compact"/>
              <w:jc w:val="right"/>
            </w:pPr>
            <w:r>
              <w:rPr>
                <w:b/>
                <w:bCs/>
              </w:rPr>
              <w:t xml:space="preserve">$789M</w:t>
            </w:r>
            <w:r>
              <w:t xml:space="preserve">, +10% YoY</w:t>
            </w:r>
          </w:p>
        </w:tc>
      </w:tr>
      <w:tr>
        <w:tc>
          <w:tcPr/>
          <w:p>
            <w:pPr>
              <w:pStyle w:val="Compact"/>
            </w:pPr>
            <w:r>
              <w:t xml:space="preserve">Platform ARR</w:t>
            </w:r>
          </w:p>
        </w:tc>
        <w:tc>
          <w:tcPr/>
          <w:p>
            <w:pPr>
              <w:pStyle w:val="Compact"/>
              <w:jc w:val="right"/>
            </w:pPr>
            <w:r>
              <w:rPr>
                <w:b/>
                <w:bCs/>
              </w:rPr>
              <w:t xml:space="preserve">$349M</w:t>
            </w:r>
            <w:r>
              <w:t xml:space="preserve">, +49% YoY</w:t>
            </w:r>
          </w:p>
        </w:tc>
      </w:tr>
      <w:tr>
        <w:tc>
          <w:tcPr/>
          <w:p>
            <w:pPr>
              <w:pStyle w:val="Compact"/>
            </w:pPr>
            <w:r>
              <w:t xml:space="preserve">Platform ARR growth excluding migrations</w:t>
            </w:r>
          </w:p>
        </w:tc>
        <w:tc>
          <w:tcPr/>
          <w:p>
            <w:pPr>
              <w:pStyle w:val="Compact"/>
              <w:jc w:val="right"/>
            </w:pPr>
            <w:r>
              <w:rPr>
                <w:b/>
                <w:bCs/>
              </w:rPr>
              <w:t xml:space="preserve">Mid-30% range</w:t>
            </w:r>
          </w:p>
        </w:tc>
      </w:tr>
      <w:tr>
        <w:tc>
          <w:tcPr/>
          <w:p>
            <w:pPr>
              <w:pStyle w:val="Compact"/>
            </w:pPr>
            <w:r>
              <w:t xml:space="preserve">Non-platform ARR</w:t>
            </w:r>
          </w:p>
        </w:tc>
        <w:tc>
          <w:tcPr/>
          <w:p>
            <w:pPr>
              <w:pStyle w:val="Compact"/>
              <w:jc w:val="right"/>
            </w:pPr>
            <w:r>
              <w:rPr>
                <w:b/>
                <w:bCs/>
              </w:rPr>
              <w:t xml:space="preserve">$440M</w:t>
            </w:r>
            <w:r>
              <w:t xml:space="preserve">, -8% YoY</w:t>
            </w:r>
          </w:p>
        </w:tc>
      </w:tr>
      <w:tr>
        <w:tc>
          <w:tcPr/>
          <w:p>
            <w:pPr>
              <w:pStyle w:val="Compact"/>
            </w:pPr>
            <w:r>
              <w:t xml:space="preserve">Platform revenue growth</w:t>
            </w:r>
          </w:p>
        </w:tc>
        <w:tc>
          <w:tcPr/>
          <w:p>
            <w:pPr>
              <w:pStyle w:val="Compact"/>
              <w:jc w:val="right"/>
            </w:pPr>
            <w:r>
              <w:rPr>
                <w:b/>
                <w:bCs/>
              </w:rPr>
              <w:t xml:space="preserve">+54% YoY</w:t>
            </w:r>
          </w:p>
        </w:tc>
      </w:tr>
      <w:tr>
        <w:tc>
          <w:tcPr/>
          <w:p>
            <w:pPr>
              <w:pStyle w:val="Compact"/>
            </w:pPr>
            <w:r>
              <w:t xml:space="preserve">Non-platform revenue growth</w:t>
            </w:r>
          </w:p>
        </w:tc>
        <w:tc>
          <w:tcPr/>
          <w:p>
            <w:pPr>
              <w:pStyle w:val="Compact"/>
              <w:jc w:val="right"/>
            </w:pPr>
            <w:r>
              <w:rPr>
                <w:b/>
                <w:bCs/>
              </w:rPr>
              <w:t xml:space="preserve">-12% YoY</w:t>
            </w:r>
          </w:p>
        </w:tc>
      </w:tr>
      <w:tr>
        <w:tc>
          <w:tcPr/>
          <w:p>
            <w:pPr>
              <w:pStyle w:val="Compact"/>
            </w:pPr>
            <w:r>
              <w:t xml:space="preserve">Total dollar-based net retention</w:t>
            </w:r>
          </w:p>
        </w:tc>
        <w:tc>
          <w:tcPr/>
          <w:p>
            <w:pPr>
              <w:pStyle w:val="Compact"/>
              <w:jc w:val="right"/>
            </w:pPr>
            <w:r>
              <w:rPr>
                <w:b/>
                <w:bCs/>
              </w:rPr>
              <w:t xml:space="preserve">109%</w:t>
            </w:r>
          </w:p>
        </w:tc>
      </w:tr>
      <w:tr>
        <w:tc>
          <w:tcPr/>
          <w:p>
            <w:pPr>
              <w:pStyle w:val="Compact"/>
            </w:pPr>
            <w:r>
              <w:t xml:space="preserve">Platform net retention</w:t>
            </w:r>
          </w:p>
        </w:tc>
        <w:tc>
          <w:tcPr/>
          <w:p>
            <w:pPr>
              <w:pStyle w:val="Compact"/>
              <w:jc w:val="right"/>
            </w:pPr>
            <w:r>
              <w:rPr>
                <w:b/>
                <w:bCs/>
              </w:rPr>
              <w:t xml:space="preserve">136%</w:t>
            </w:r>
          </w:p>
        </w:tc>
      </w:tr>
      <w:tr>
        <w:tc>
          <w:tcPr/>
          <w:p>
            <w:pPr>
              <w:pStyle w:val="Compact"/>
            </w:pPr>
            <w:r>
              <w:t xml:space="preserve">Trailing-12-month ACV bookings</w:t>
            </w:r>
          </w:p>
        </w:tc>
        <w:tc>
          <w:tcPr/>
          <w:p>
            <w:pPr>
              <w:pStyle w:val="Compact"/>
              <w:jc w:val="right"/>
            </w:pPr>
            <w:r>
              <w:rPr>
                <w:b/>
                <w:bCs/>
              </w:rPr>
              <w:t xml:space="preserve">$126M</w:t>
            </w:r>
            <w:r>
              <w:t xml:space="preserve">, +36% YoY</w:t>
            </w:r>
          </w:p>
        </w:tc>
      </w:tr>
    </w:tbl>
    <w:p>
      <w:pPr>
        <w:pStyle w:val="BodyText"/>
      </w:pPr>
      <w:r>
        <w:t xml:space="preserve">The platform’s land-and-expand indicators are strong, particularly the 136% platform net-retention rate. However, investors will want proof that rapid platform expansion can more than offset legacy-product declines and the reduced availability of point-in-time license revenue.</w:t>
      </w:r>
    </w:p>
    <w:p>
      <w:pPr>
        <w:pStyle w:val="BodyText"/>
      </w:pPr>
      <w:r>
        <w:rPr>
          <w:b/>
          <w:bCs/>
        </w:rPr>
        <w:t xml:space="preserve">Key questions for the call:</w:t>
      </w:r>
    </w:p>
    <w:p>
      <w:pPr>
        <w:pStyle w:val="Compact"/>
        <w:numPr>
          <w:ilvl w:val="0"/>
          <w:numId w:val="1003"/>
        </w:numPr>
      </w:pPr>
      <w:r>
        <w:t xml:space="preserve">Is platform ARR growth holding at a mid-30%-plus organic rate after adjusting for migrations?</w:t>
      </w:r>
    </w:p>
    <w:p>
      <w:pPr>
        <w:pStyle w:val="Compact"/>
        <w:numPr>
          <w:ilvl w:val="0"/>
          <w:numId w:val="1003"/>
        </w:numPr>
      </w:pPr>
      <w:r>
        <w:t xml:space="preserve">Is total Software revenue growth accelerating above the 7% reported in 2Q?</w:t>
      </w:r>
    </w:p>
    <w:p>
      <w:pPr>
        <w:pStyle w:val="Compact"/>
        <w:numPr>
          <w:ilvl w:val="0"/>
          <w:numId w:val="1003"/>
        </w:numPr>
      </w:pPr>
      <w:r>
        <w:t xml:space="preserve">Does management still expect second-half bookings to exceed first-half bookings?</w:t>
      </w:r>
    </w:p>
    <w:p>
      <w:pPr>
        <w:pStyle w:val="Compact"/>
        <w:numPr>
          <w:ilvl w:val="0"/>
          <w:numId w:val="1003"/>
        </w:numPr>
      </w:pPr>
      <w:r>
        <w:t xml:space="preserve">Are migrations being led by customer demand—as management has maintained—or are they increasingly displacing profitable legacy revenue faster than anticipated?</w:t>
      </w:r>
    </w:p>
    <w:p>
      <w:pPr>
        <w:pStyle w:val="Compact"/>
        <w:numPr>
          <w:ilvl w:val="0"/>
          <w:numId w:val="1003"/>
        </w:numPr>
      </w:pPr>
      <w:r>
        <w:t xml:space="preserve">Is AI-related demand producing actual bookings, expansions, or new use cases rather than just favorable product positioning?</w:t>
      </w:r>
    </w:p>
    <w:p>
      <w:pPr>
        <w:pStyle w:val="FirstParagraph"/>
      </w:pPr>
      <w:r>
        <w:t xml:space="preserve">A healthy quarter should pair continued strong platform ARR and retention with a clearer path to faster consolidated Software revenue growth.</w:t>
      </w:r>
    </w:p>
    <w:p>
      <w:r>
        <w:pict>
          <v:rect style="width:0;height:1.5pt" o:hralign="center" o:hrstd="t" o:hr="t"/>
        </w:pict>
      </w:r>
    </w:p>
    <w:bookmarkEnd w:id="12"/>
    <w:bookmarkEnd w:id="13"/>
    <w:bookmarkStart w:id="14" w:name="guidance-and-earnings-power-setup"/>
    <w:p>
      <w:pPr>
        <w:pStyle w:val="Heading2"/>
      </w:pPr>
      <w:r>
        <w:t xml:space="preserve">Guidance and earnings-power setup</w:t>
      </w:r>
    </w:p>
    <w:p>
      <w:pPr>
        <w:pStyle w:val="FirstParagraph"/>
      </w:pPr>
      <w:r>
        <w:t xml:space="preserve">Management’s FY26 outlook after fiscal 2Q was: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FY26 guidance</w:t>
            </w:r>
          </w:p>
        </w:tc>
        <w:tc>
          <w:tcPr/>
          <w:p>
            <w:pPr>
              <w:pStyle w:val="Compact"/>
              <w:jc w:val="right"/>
            </w:pPr>
            <w:r>
              <w:t xml:space="preserve">Updated guidance</w:t>
            </w:r>
          </w:p>
        </w:tc>
      </w:tr>
      <w:tr>
        <w:tc>
          <w:tcPr/>
          <w:p>
            <w:pPr>
              <w:pStyle w:val="Compact"/>
            </w:pPr>
            <w:r>
              <w:t xml:space="preserve">Revenue</w:t>
            </w:r>
          </w:p>
        </w:tc>
        <w:tc>
          <w:tcPr/>
          <w:p>
            <w:pPr>
              <w:pStyle w:val="Compact"/>
              <w:jc w:val="right"/>
            </w:pPr>
            <w:r>
              <w:rPr>
                <w:b/>
                <w:bCs/>
              </w:rPr>
              <w:t xml:space="preserve">$2.45B</w:t>
            </w:r>
          </w:p>
        </w:tc>
      </w:tr>
      <w:tr>
        <w:tc>
          <w:tcPr/>
          <w:p>
            <w:pPr>
              <w:pStyle w:val="Compact"/>
            </w:pPr>
            <w:r>
              <w:t xml:space="preserve">GAAP net income</w:t>
            </w:r>
          </w:p>
        </w:tc>
        <w:tc>
          <w:tcPr/>
          <w:p>
            <w:pPr>
              <w:pStyle w:val="Compact"/>
              <w:jc w:val="right"/>
            </w:pPr>
            <w:r>
              <w:rPr>
                <w:b/>
                <w:bCs/>
              </w:rPr>
              <w:t xml:space="preserve">$825M</w:t>
            </w:r>
          </w:p>
        </w:tc>
      </w:tr>
      <w:tr>
        <w:tc>
          <w:tcPr/>
          <w:p>
            <w:pPr>
              <w:pStyle w:val="Compact"/>
            </w:pPr>
            <w:r>
              <w:t xml:space="preserve">GAAP EPS</w:t>
            </w:r>
          </w:p>
        </w:tc>
        <w:tc>
          <w:tcPr/>
          <w:p>
            <w:pPr>
              <w:pStyle w:val="Compact"/>
              <w:jc w:val="right"/>
            </w:pPr>
            <w:r>
              <w:rPr>
                <w:b/>
                <w:bCs/>
              </w:rPr>
              <w:t xml:space="preserve">$35.60</w:t>
            </w:r>
          </w:p>
        </w:tc>
      </w:tr>
      <w:tr>
        <w:tc>
          <w:tcPr/>
          <w:p>
            <w:pPr>
              <w:pStyle w:val="Compact"/>
            </w:pPr>
            <w:r>
              <w:t xml:space="preserve">Non-GAAP net income</w:t>
            </w:r>
          </w:p>
        </w:tc>
        <w:tc>
          <w:tcPr/>
          <w:p>
            <w:pPr>
              <w:pStyle w:val="Compact"/>
              <w:jc w:val="right"/>
            </w:pPr>
            <w:r>
              <w:rPr>
                <w:b/>
                <w:bCs/>
              </w:rPr>
              <w:t xml:space="preserve">$946M</w:t>
            </w:r>
          </w:p>
        </w:tc>
      </w:tr>
      <w:tr>
        <w:tc>
          <w:tcPr/>
          <w:p>
            <w:pPr>
              <w:pStyle w:val="Compact"/>
            </w:pPr>
            <w:r>
              <w:t xml:space="preserve">Non-GAAP EPS</w:t>
            </w:r>
          </w:p>
        </w:tc>
        <w:tc>
          <w:tcPr/>
          <w:p>
            <w:pPr>
              <w:pStyle w:val="Compact"/>
              <w:jc w:val="right"/>
            </w:pPr>
            <w:r>
              <w:rPr>
                <w:b/>
                <w:bCs/>
              </w:rPr>
              <w:t xml:space="preserve">$40.45</w:t>
            </w:r>
          </w:p>
        </w:tc>
      </w:tr>
    </w:tbl>
    <w:p>
      <w:pPr>
        <w:pStyle w:val="BodyText"/>
      </w:pPr>
      <w:r>
        <w:t xml:space="preserve">Through the first half, FICO generated</w:t>
      </w:r>
      <w:r>
        <w:t xml:space="preserve"> </w:t>
      </w:r>
      <m:oMath>
        <m:r>
          <m:t>1.204</m:t>
        </m:r>
        <m:r>
          <m:t>b</m:t>
        </m:r>
        <m:r>
          <m:t>i</m:t>
        </m:r>
        <m:r>
          <m:t>l</m:t>
        </m:r>
        <m:r>
          <m:t>l</m:t>
        </m:r>
        <m:r>
          <m:t>i</m:t>
        </m:r>
        <m:r>
          <m:t>o</m:t>
        </m:r>
        <m:r>
          <m:t>n</m:t>
        </m:r>
        <m:r>
          <m:rPr>
            <m:sty m:val="p"/>
          </m:rPr>
          <m:t>*</m:t>
        </m:r>
        <m:r>
          <m:rPr>
            <m:sty m:val="p"/>
          </m:rPr>
          <m:t>*</m:t>
        </m:r>
        <m:r>
          <m:t>o</m:t>
        </m:r>
        <m:r>
          <m:t>f</m:t>
        </m:r>
        <m:r>
          <m:t>r</m:t>
        </m:r>
        <m:r>
          <m:t>e</m:t>
        </m:r>
        <m:r>
          <m:t>v</m:t>
        </m:r>
        <m:r>
          <m:t>e</m:t>
        </m:r>
        <m:r>
          <m:t>n</m:t>
        </m:r>
        <m:r>
          <m:t>u</m:t>
        </m:r>
        <m:r>
          <m:t>e</m:t>
        </m:r>
        <m:r>
          <m:rPr>
            <m:sty m:val="p"/>
          </m:rPr>
          <m:t>,</m:t>
        </m:r>
        <m:r>
          <m:rPr>
            <m:sty m:val="p"/>
          </m:rPr>
          <m:t>*</m:t>
        </m:r>
        <m:r>
          <m:rPr>
            <m:sty m:val="p"/>
          </m:rPr>
          <m:t>*</m:t>
        </m:r>
      </m:oMath>
      <w:r>
        <w:rPr>
          <w:b/>
          <w:bCs/>
        </w:rPr>
        <w:t xml:space="preserve">422.8 million</w:t>
      </w:r>
      <w:r>
        <w:t xml:space="preserve"> </w:t>
      </w:r>
      <w:r>
        <w:t xml:space="preserve">of GAAP net income, and</w:t>
      </w:r>
      <w:r>
        <w:t xml:space="preserve"> </w:t>
      </w:r>
      <m:oMath>
        <m:r>
          <m:t>472.4</m:t>
        </m:r>
        <m:r>
          <m:t>m</m:t>
        </m:r>
        <m:r>
          <m:t>i</m:t>
        </m:r>
        <m:r>
          <m:t>l</m:t>
        </m:r>
        <m:r>
          <m:t>l</m:t>
        </m:r>
        <m:r>
          <m:t>i</m:t>
        </m:r>
        <m:r>
          <m:t>o</m:t>
        </m:r>
        <m:r>
          <m:t>n</m:t>
        </m:r>
        <m:r>
          <m:rPr>
            <m:sty m:val="p"/>
          </m:rPr>
          <m:t>*</m:t>
        </m:r>
        <m:r>
          <m:rPr>
            <m:sty m:val="p"/>
          </m:rPr>
          <m:t>*</m:t>
        </m:r>
        <m:r>
          <m:t>o</m:t>
        </m:r>
        <m:r>
          <m:t>f</m:t>
        </m:r>
        <m:r>
          <m:t>n</m:t>
        </m:r>
        <m:r>
          <m:t>o</m:t>
        </m:r>
        <m:r>
          <m:t>n</m:t>
        </m:r>
        <m:r>
          <m:rPr>
            <m:sty m:val="p"/>
          </m:rPr>
          <m:t>−</m:t>
        </m:r>
        <m:r>
          <m:t>G</m:t>
        </m:r>
        <m:r>
          <m:t>A</m:t>
        </m:r>
        <m:r>
          <m:t>A</m:t>
        </m:r>
        <m:r>
          <m:t>P</m:t>
        </m:r>
        <m:r>
          <m:t>n</m:t>
        </m:r>
        <m:r>
          <m:t>e</m:t>
        </m:r>
        <m:r>
          <m:t>t</m:t>
        </m:r>
        <m:r>
          <m:t>i</m:t>
        </m:r>
        <m:r>
          <m:t>n</m:t>
        </m:r>
        <m:r>
          <m:t>c</m:t>
        </m:r>
        <m:r>
          <m:t>o</m:t>
        </m:r>
        <m:r>
          <m:t>m</m:t>
        </m:r>
        <m:r>
          <m:t>e</m:t>
        </m:r>
        <m:r>
          <m:rPr>
            <m:sty m:val="p"/>
          </m:rPr>
          <m:t>.</m:t>
        </m:r>
        <m:r>
          <m:t>T</m:t>
        </m:r>
        <m:r>
          <m:t>h</m:t>
        </m:r>
        <m:r>
          <m:t>e</m:t>
        </m:r>
        <m:r>
          <m:t>c</m:t>
        </m:r>
        <m:r>
          <m:t>u</m:t>
        </m:r>
        <m:r>
          <m:t>r</m:t>
        </m:r>
        <m:r>
          <m:t>r</m:t>
        </m:r>
        <m:r>
          <m:t>e</m:t>
        </m:r>
        <m:r>
          <m:t>n</m:t>
        </m:r>
        <m:r>
          <m:t>t</m:t>
        </m:r>
        <m:r>
          <m:t>g</m:t>
        </m:r>
        <m:r>
          <m:t>u</m:t>
        </m:r>
        <m:r>
          <m:t>i</m:t>
        </m:r>
        <m:r>
          <m:t>d</m:t>
        </m:r>
        <m:r>
          <m:t>e</m:t>
        </m:r>
        <m:r>
          <m:t>t</m:t>
        </m:r>
        <m:r>
          <m:t>h</m:t>
        </m:r>
        <m:r>
          <m:t>e</m:t>
        </m:r>
        <m:r>
          <m:t>r</m:t>
        </m:r>
        <m:r>
          <m:t>e</m:t>
        </m:r>
        <m:r>
          <m:t>f</m:t>
        </m:r>
        <m:r>
          <m:t>o</m:t>
        </m:r>
        <m:r>
          <m:t>r</m:t>
        </m:r>
        <m:r>
          <m:t>e</m:t>
        </m:r>
        <m:r>
          <m:t>i</m:t>
        </m:r>
        <m:r>
          <m:t>m</m:t>
        </m:r>
        <m:r>
          <m:t>p</m:t>
        </m:r>
        <m:r>
          <m:t>l</m:t>
        </m:r>
        <m:r>
          <m:t>i</m:t>
        </m:r>
        <m:r>
          <m:t>e</m:t>
        </m:r>
        <m:r>
          <m:t>s</m:t>
        </m:r>
        <m:r>
          <m:t>r</m:t>
        </m:r>
        <m:r>
          <m:t>o</m:t>
        </m:r>
        <m:r>
          <m:t>u</m:t>
        </m:r>
        <m:r>
          <m:t>g</m:t>
        </m:r>
        <m:r>
          <m:t>h</m:t>
        </m:r>
        <m:r>
          <m:t>l</m:t>
        </m:r>
        <m:r>
          <m:t>y</m:t>
        </m:r>
        <m:r>
          <m:rPr>
            <m:sty m:val="p"/>
          </m:rPr>
          <m:t>*</m:t>
        </m:r>
        <m:r>
          <m:rPr>
            <m:sty m:val="p"/>
          </m:rPr>
          <m:t>*</m:t>
        </m:r>
      </m:oMath>
      <w:r>
        <w:rPr>
          <w:b/>
          <w:bCs/>
        </w:rPr>
        <w:t xml:space="preserve">1.246 billion</w:t>
      </w:r>
      <w:r>
        <w:t xml:space="preserve"> </w:t>
      </w:r>
      <w:r>
        <w:t xml:space="preserve">of second-half revenue,</w:t>
      </w:r>
      <w:r>
        <w:t xml:space="preserve"> </w:t>
      </w:r>
      <m:oMath>
        <m:r>
          <m:t>402</m:t>
        </m:r>
        <m:r>
          <m:t>m</m:t>
        </m:r>
        <m:r>
          <m:t>i</m:t>
        </m:r>
        <m:r>
          <m:t>l</m:t>
        </m:r>
        <m:r>
          <m:t>l</m:t>
        </m:r>
        <m:r>
          <m:t>i</m:t>
        </m:r>
        <m:r>
          <m:t>o</m:t>
        </m:r>
        <m:r>
          <m:t>n</m:t>
        </m:r>
        <m:r>
          <m:rPr>
            <m:sty m:val="p"/>
          </m:rPr>
          <m:t>*</m:t>
        </m:r>
        <m:r>
          <m:rPr>
            <m:sty m:val="p"/>
          </m:rPr>
          <m:t>*</m:t>
        </m:r>
        <m:r>
          <m:t>o</m:t>
        </m:r>
        <m:r>
          <m:t>f</m:t>
        </m:r>
        <m:r>
          <m:t>G</m:t>
        </m:r>
        <m:r>
          <m:t>A</m:t>
        </m:r>
        <m:r>
          <m:t>A</m:t>
        </m:r>
        <m:r>
          <m:t>P</m:t>
        </m:r>
        <m:r>
          <m:t>n</m:t>
        </m:r>
        <m:r>
          <m:t>e</m:t>
        </m:r>
        <m:r>
          <m:t>t</m:t>
        </m:r>
        <m:r>
          <m:t>i</m:t>
        </m:r>
        <m:r>
          <m:t>n</m:t>
        </m:r>
        <m:r>
          <m:t>c</m:t>
        </m:r>
        <m:r>
          <m:t>o</m:t>
        </m:r>
        <m:r>
          <m:t>m</m:t>
        </m:r>
        <m:r>
          <m:t>e</m:t>
        </m:r>
        <m:r>
          <m:rPr>
            <m:sty m:val="p"/>
          </m:rPr>
          <m:t>,</m:t>
        </m:r>
        <m:r>
          <m:t>a</m:t>
        </m:r>
        <m:r>
          <m:t>n</m:t>
        </m:r>
        <m:r>
          <m:t>d</m:t>
        </m:r>
        <m:r>
          <m:rPr>
            <m:sty m:val="p"/>
          </m:rPr>
          <m:t>*</m:t>
        </m:r>
        <m:r>
          <m:rPr>
            <m:sty m:val="p"/>
          </m:rPr>
          <m:t>*</m:t>
        </m:r>
      </m:oMath>
      <w:r>
        <w:rPr>
          <w:b/>
          <w:bCs/>
        </w:rPr>
        <w:t xml:space="preserve">474 million</w:t>
      </w:r>
      <w:r>
        <w:t xml:space="preserve"> </w:t>
      </w:r>
      <w:r>
        <w:t xml:space="preserve">of non-GAAP net income. In other words, the existing FY26 framework implies little aggregate second-half profit growth versus the already strong first half—suggesting management retains room for upside if Scores trends and mortgage volumes remain favorable.</w:t>
      </w:r>
    </w:p>
    <w:p>
      <w:pPr>
        <w:pStyle w:val="BodyText"/>
      </w:pPr>
      <w:r>
        <w:t xml:space="preserve">That said, FICO has explicitly built in a timing lag from the performance-pricing model, and management has indicated operating-expense dollars and interest expense should rise modestly through the back half. An investor should not assume every incremental revenue dollar falls through at the exceptional 2Q rate.</w:t>
      </w:r>
    </w:p>
    <w:p>
      <w:r>
        <w:pict>
          <v:rect style="width:0;height:1.5pt" o:hralign="center" o:hrstd="t" o:hr="t"/>
        </w:pict>
      </w:r>
    </w:p>
    <w:bookmarkEnd w:id="14"/>
    <w:bookmarkStart w:id="15" w:name="X9742d97c0466bfde134c630dffa0f79be4867df"/>
    <w:p>
      <w:pPr>
        <w:pStyle w:val="Heading2"/>
      </w:pPr>
      <w:r>
        <w:t xml:space="preserve">Capital allocation, leverage, and valuation</w:t>
      </w:r>
    </w:p>
    <w:p>
      <w:pPr>
        <w:pStyle w:val="FirstParagraph"/>
      </w:pPr>
      <w:r>
        <w:t xml:space="preserve">FICO’s capital-return model remains a material component of the equity story.</w:t>
      </w:r>
    </w:p>
    <w:p>
      <w:pPr>
        <w:pStyle w:val="Compact"/>
        <w:numPr>
          <w:ilvl w:val="0"/>
          <w:numId w:val="1004"/>
        </w:numPr>
      </w:pPr>
      <w:r>
        <w:t xml:space="preserve">In fiscal 2Q, FICO repurchased</w:t>
      </w:r>
      <w:r>
        <w:t xml:space="preserve"> </w:t>
      </w:r>
      <m:oMath>
        <m:r>
          <m:t>605</m:t>
        </m:r>
        <m:r>
          <m:t>m</m:t>
        </m:r>
        <m:r>
          <m:t>i</m:t>
        </m:r>
        <m:r>
          <m:t>l</m:t>
        </m:r>
        <m:r>
          <m:t>l</m:t>
        </m:r>
        <m:r>
          <m:t>i</m:t>
        </m:r>
        <m:r>
          <m:t>o</m:t>
        </m:r>
        <m:r>
          <m:t>n</m:t>
        </m:r>
        <m:r>
          <m:rPr>
            <m:sty m:val="p"/>
          </m:rPr>
          <m:t>*</m:t>
        </m:r>
        <m:r>
          <m:rPr>
            <m:sty m:val="p"/>
          </m:rPr>
          <m:t>*</m:t>
        </m:r>
        <m:r>
          <m:t>o</m:t>
        </m:r>
        <m:r>
          <m:t>f</m:t>
        </m:r>
        <m:r>
          <m:t>s</m:t>
        </m:r>
        <m:r>
          <m:t>t</m:t>
        </m:r>
        <m:r>
          <m:t>o</m:t>
        </m:r>
        <m:r>
          <m:t>c</m:t>
        </m:r>
        <m:r>
          <m:t>k</m:t>
        </m:r>
        <m:r>
          <m:rPr>
            <m:sty m:val="p"/>
          </m:rPr>
          <m:t>,</m:t>
        </m:r>
        <m:r>
          <m:t>o</m:t>
        </m:r>
        <m:r>
          <m:t>r</m:t>
        </m:r>
        <m:r>
          <m:t>484</m:t>
        </m:r>
        <m:r>
          <m:rPr>
            <m:sty m:val="p"/>
          </m:rPr>
          <m:t>,</m:t>
        </m:r>
        <m:r>
          <m:t>000</m:t>
        </m:r>
        <m:r>
          <m:t>s</m:t>
        </m:r>
        <m:r>
          <m:t>h</m:t>
        </m:r>
        <m:r>
          <m:t>a</m:t>
        </m:r>
        <m:r>
          <m:t>r</m:t>
        </m:r>
        <m:r>
          <m:t>e</m:t>
        </m:r>
        <m:r>
          <m:t>s</m:t>
        </m:r>
        <m:r>
          <m:rPr>
            <m:sty m:val="p"/>
          </m:rPr>
          <m:t>,</m:t>
        </m:r>
        <m:r>
          <m:t>a</m:t>
        </m:r>
        <m:r>
          <m:t>t</m:t>
        </m:r>
        <m:r>
          <m:t>a</m:t>
        </m:r>
        <m:r>
          <m:t>n</m:t>
        </m:r>
        <m:r>
          <m:t>a</m:t>
        </m:r>
        <m:r>
          <m:t>v</m:t>
        </m:r>
        <m:r>
          <m:t>e</m:t>
        </m:r>
        <m:r>
          <m:t>r</m:t>
        </m:r>
        <m:r>
          <m:t>a</m:t>
        </m:r>
        <m:r>
          <m:t>g</m:t>
        </m:r>
        <m:r>
          <m:t>e</m:t>
        </m:r>
        <m:r>
          <m:t>p</m:t>
        </m:r>
        <m:r>
          <m:t>r</m:t>
        </m:r>
        <m:r>
          <m:t>i</m:t>
        </m:r>
        <m:r>
          <m:t>c</m:t>
        </m:r>
        <m:r>
          <m:t>e</m:t>
        </m:r>
        <m:r>
          <m:t>o</m:t>
        </m:r>
        <m:r>
          <m:t>f</m:t>
        </m:r>
        <m:r>
          <m:rPr>
            <m:sty m:val="p"/>
          </m:rPr>
          <m:t>*</m:t>
        </m:r>
        <m:r>
          <m:rPr>
            <m:sty m:val="p"/>
          </m:rPr>
          <m:t>*</m:t>
        </m:r>
      </m:oMath>
      <w:r>
        <w:rPr>
          <w:b/>
          <w:bCs/>
        </w:rPr>
        <w:t xml:space="preserve">1,251</w:t>
      </w:r>
      <w:r>
        <w:t xml:space="preserve">.</w:t>
      </w:r>
    </w:p>
    <w:p>
      <w:pPr>
        <w:pStyle w:val="Compact"/>
        <w:numPr>
          <w:ilvl w:val="0"/>
          <w:numId w:val="1004"/>
        </w:numPr>
      </w:pPr>
      <w:r>
        <w:t xml:space="preserve">From April 1 through the prior earnings call, it repurchased another</w:t>
      </w:r>
      <w:r>
        <w:t xml:space="preserve"> </w:t>
      </w:r>
      <m:oMath>
        <m:r>
          <m:t>170</m:t>
        </m:r>
        <m:r>
          <m:t>m</m:t>
        </m:r>
        <m:r>
          <m:t>i</m:t>
        </m:r>
        <m:r>
          <m:t>l</m:t>
        </m:r>
        <m:r>
          <m:t>l</m:t>
        </m:r>
        <m:r>
          <m:t>i</m:t>
        </m:r>
        <m:r>
          <m:t>o</m:t>
        </m:r>
        <m:r>
          <m:t>n</m:t>
        </m:r>
        <m:r>
          <m:rPr>
            <m:sty m:val="p"/>
          </m:rPr>
          <m:t>*</m:t>
        </m:r>
        <m:r>
          <m:rPr>
            <m:sty m:val="p"/>
          </m:rPr>
          <m:t>*</m:t>
        </m:r>
        <m:r>
          <m:t>o</m:t>
        </m:r>
        <m:r>
          <m:t>f</m:t>
        </m:r>
        <m:r>
          <m:t>s</m:t>
        </m:r>
        <m:r>
          <m:t>t</m:t>
        </m:r>
        <m:r>
          <m:t>o</m:t>
        </m:r>
        <m:r>
          <m:t>c</m:t>
        </m:r>
        <m:r>
          <m:t>k</m:t>
        </m:r>
        <m:r>
          <m:t>a</m:t>
        </m:r>
        <m:r>
          <m:t>t</m:t>
        </m:r>
        <m:r>
          <m:t>a</m:t>
        </m:r>
        <m:r>
          <m:t>n</m:t>
        </m:r>
        <m:r>
          <m:t>a</m:t>
        </m:r>
        <m:r>
          <m:t>v</m:t>
        </m:r>
        <m:r>
          <m:t>e</m:t>
        </m:r>
        <m:r>
          <m:t>r</m:t>
        </m:r>
        <m:r>
          <m:t>a</m:t>
        </m:r>
        <m:r>
          <m:t>g</m:t>
        </m:r>
        <m:r>
          <m:t>e</m:t>
        </m:r>
        <m:r>
          <m:t>p</m:t>
        </m:r>
        <m:r>
          <m:t>r</m:t>
        </m:r>
        <m:r>
          <m:t>i</m:t>
        </m:r>
        <m:r>
          <m:t>c</m:t>
        </m:r>
        <m:r>
          <m:t>e</m:t>
        </m:r>
        <m:r>
          <m:t>o</m:t>
        </m:r>
        <m:r>
          <m:t>f</m:t>
        </m:r>
        <m:r>
          <m:rPr>
            <m:sty m:val="p"/>
          </m:rPr>
          <m:t>*</m:t>
        </m:r>
        <m:r>
          <m:rPr>
            <m:sty m:val="p"/>
          </m:rPr>
          <m:t>*</m:t>
        </m:r>
      </m:oMath>
      <w:r>
        <w:rPr>
          <w:b/>
          <w:bCs/>
        </w:rPr>
        <w:t xml:space="preserve">1,040</w:t>
      </w:r>
      <w:r>
        <w:t xml:space="preserve">.</w:t>
      </w:r>
    </w:p>
    <w:p>
      <w:pPr>
        <w:pStyle w:val="Compact"/>
        <w:numPr>
          <w:ilvl w:val="0"/>
          <w:numId w:val="1004"/>
        </w:numPr>
      </w:pPr>
      <w:r>
        <w:t xml:space="preserve">At March 31, FICO had</w:t>
      </w:r>
      <w:r>
        <w:t xml:space="preserve"> </w:t>
      </w:r>
      <w:r>
        <w:rPr>
          <w:b/>
          <w:bCs/>
        </w:rPr>
        <w:t xml:space="preserve">$3.64 billion</w:t>
      </w:r>
      <w:r>
        <w:t xml:space="preserve"> </w:t>
      </w:r>
      <w:r>
        <w:t xml:space="preserve">of debt, including $265 million on its revolver, with a weighted-average interest rate of 5.5%.</w:t>
      </w:r>
    </w:p>
    <w:p>
      <w:pPr>
        <w:pStyle w:val="Compact"/>
        <w:numPr>
          <w:ilvl w:val="0"/>
          <w:numId w:val="1004"/>
        </w:numPr>
      </w:pPr>
      <w:r>
        <w:t xml:space="preserve">Management refinanced the 2018 notes using a new $1 billion 6.25% senior-note issue due 2034, while continuing aggressive repurchases.</w:t>
      </w:r>
    </w:p>
    <w:p>
      <w:pPr>
        <w:pStyle w:val="FirstParagraph"/>
      </w:pPr>
      <w:r>
        <w:t xml:space="preserve">The buyback supports per-share growth—diluted shares fell to</w:t>
      </w:r>
      <w:r>
        <w:t xml:space="preserve"> </w:t>
      </w:r>
      <w:r>
        <w:rPr>
          <w:b/>
          <w:bCs/>
        </w:rPr>
        <w:t xml:space="preserve">23.75 million</w:t>
      </w:r>
      <w:r>
        <w:t xml:space="preserve"> </w:t>
      </w:r>
      <w:r>
        <w:t xml:space="preserve">in fiscal 2Q from</w:t>
      </w:r>
      <w:r>
        <w:t xml:space="preserve"> </w:t>
      </w:r>
      <w:r>
        <w:rPr>
          <w:b/>
          <w:bCs/>
        </w:rPr>
        <w:t xml:space="preserve">24.69 million</w:t>
      </w:r>
      <w:r>
        <w:t xml:space="preserve"> </w:t>
      </w:r>
      <w:r>
        <w:t xml:space="preserve">a year earlier—but it also leaves FICO with a highly levered balance sheet and a stockholders’ deficit. The balance sheet is manageable given the company’s high margins and cash generation, but the market will watch whether FICO continues to balance buybacks with debt discipline as interest expense rises.</w:t>
      </w:r>
    </w:p>
    <w:p>
      <w:pPr>
        <w:pStyle w:val="BodyText"/>
      </w:pPr>
      <w:r>
        <w:t xml:space="preserve">Using the July 28 close and March 31 share count, equity value is approximately</w:t>
      </w:r>
      <w:r>
        <w:t xml:space="preserve"> </w:t>
      </w:r>
      <w:r>
        <w:rPr>
          <w:b/>
          <w:bCs/>
        </w:rPr>
        <w:t xml:space="preserve">$31.1 billion</w:t>
      </w:r>
      <w:r>
        <w:t xml:space="preserve">. Including net debt, implied enterprise value is roughly</w:t>
      </w:r>
      <w:r>
        <w:t xml:space="preserve"> </w:t>
      </w:r>
      <w:r>
        <w:rPr>
          <w:b/>
          <w:bCs/>
        </w:rPr>
        <w:t xml:space="preserve">14x FY26 guided revenue</w:t>
      </w:r>
      <w:r>
        <w:t xml:space="preserve">. That valuation supports the notion that investors are paying for durable Score pricing power, resilient credit-market volumes, and an eventual larger Software-platform contribution—not just one strong mortgage quarter.</w:t>
      </w:r>
    </w:p>
    <w:p>
      <w:r>
        <w:pict>
          <v:rect style="width:0;height:1.5pt" o:hralign="center" o:hrstd="t" o:hr="t"/>
        </w:pict>
      </w:r>
    </w:p>
    <w:bookmarkEnd w:id="15"/>
    <w:bookmarkStart w:id="19" w:name="Xab10728010003c7aab3aac98a2cdb8245f993d4"/>
    <w:p>
      <w:pPr>
        <w:pStyle w:val="Heading2"/>
      </w:pPr>
      <w:r>
        <w:t xml:space="preserve">What would make the report bullish, neutral, or disappointing?</w:t>
      </w:r>
    </w:p>
    <w:bookmarkStart w:id="16" w:name="bullish"/>
    <w:p>
      <w:pPr>
        <w:pStyle w:val="Heading3"/>
      </w:pPr>
      <w:r>
        <w:t xml:space="preserve">Bullish</w:t>
      </w:r>
    </w:p>
    <w:p>
      <w:pPr>
        <w:pStyle w:val="Compact"/>
        <w:numPr>
          <w:ilvl w:val="0"/>
          <w:numId w:val="1005"/>
        </w:numPr>
      </w:pPr>
      <w:r>
        <w:t xml:space="preserve">Scores growth remains materially above the FY26 revenue-growth guide, with strong mortgage demand and better breadth across auto, cards, and personal loans.</w:t>
      </w:r>
    </w:p>
    <w:p>
      <w:pPr>
        <w:pStyle w:val="Compact"/>
        <w:numPr>
          <w:ilvl w:val="0"/>
          <w:numId w:val="1005"/>
        </w:numPr>
      </w:pPr>
      <w:r>
        <w:t xml:space="preserve">Software revenue growth accelerates while platform ARR, ACV bookings, and platform net retention remain strong.</w:t>
      </w:r>
    </w:p>
    <w:p>
      <w:pPr>
        <w:pStyle w:val="Compact"/>
        <w:numPr>
          <w:ilvl w:val="0"/>
          <w:numId w:val="1005"/>
        </w:numPr>
      </w:pPr>
      <w:r>
        <w:t xml:space="preserve">FY26 guidance increases again, especially if the increase reflects underlying operational strength rather than simply a favorable mortgage-volume assumption.</w:t>
      </w:r>
    </w:p>
    <w:p>
      <w:pPr>
        <w:pStyle w:val="Compact"/>
        <w:numPr>
          <w:ilvl w:val="0"/>
          <w:numId w:val="1005"/>
        </w:numPr>
      </w:pPr>
      <w:r>
        <w:t xml:space="preserve">Clear progress on direct licensing, reseller readiness, FHFA approvals, or lender adoption of FICO Score 10T.</w:t>
      </w:r>
    </w:p>
    <w:p>
      <w:pPr>
        <w:pStyle w:val="Compact"/>
        <w:numPr>
          <w:ilvl w:val="0"/>
          <w:numId w:val="1005"/>
        </w:numPr>
      </w:pPr>
      <w:r>
        <w:t xml:space="preserve">Continued strong free-cash-flow generation and meaningful, but disciplined, share repurchases.</w:t>
      </w:r>
    </w:p>
    <w:bookmarkEnd w:id="16"/>
    <w:bookmarkStart w:id="17" w:name="neutral"/>
    <w:p>
      <w:pPr>
        <w:pStyle w:val="Heading3"/>
      </w:pPr>
      <w:r>
        <w:t xml:space="preserve">Neutral</w:t>
      </w:r>
    </w:p>
    <w:p>
      <w:pPr>
        <w:pStyle w:val="Compact"/>
        <w:numPr>
          <w:ilvl w:val="0"/>
          <w:numId w:val="1006"/>
        </w:numPr>
      </w:pPr>
      <w:r>
        <w:t xml:space="preserve">A modest beat with FY26 guidance reiterated.</w:t>
      </w:r>
    </w:p>
    <w:p>
      <w:pPr>
        <w:pStyle w:val="Compact"/>
        <w:numPr>
          <w:ilvl w:val="0"/>
          <w:numId w:val="1006"/>
        </w:numPr>
      </w:pPr>
      <w:r>
        <w:t xml:space="preserve">Mortgage remains solid but slows from the 2Q growth rate due to tougher comparisons.</w:t>
      </w:r>
    </w:p>
    <w:p>
      <w:pPr>
        <w:pStyle w:val="Compact"/>
        <w:numPr>
          <w:ilvl w:val="0"/>
          <w:numId w:val="1006"/>
        </w:numPr>
      </w:pPr>
      <w:r>
        <w:t xml:space="preserve">Platform ARR remains robust, but total Software revenue stays in the high-single-digit growth range because legacy runoff persists.</w:t>
      </w:r>
    </w:p>
    <w:p>
      <w:pPr>
        <w:pStyle w:val="Compact"/>
        <w:numPr>
          <w:ilvl w:val="0"/>
          <w:numId w:val="1006"/>
        </w:numPr>
      </w:pPr>
      <w:r>
        <w:t xml:space="preserve">Mortgage-modernization timing remains uncertain but does not materially change the FY26 outlook.</w:t>
      </w:r>
    </w:p>
    <w:bookmarkEnd w:id="17"/>
    <w:bookmarkStart w:id="18" w:name="bearish"/>
    <w:p>
      <w:pPr>
        <w:pStyle w:val="Heading3"/>
      </w:pPr>
      <w:r>
        <w:t xml:space="preserve">Bearish</w:t>
      </w:r>
    </w:p>
    <w:p>
      <w:pPr>
        <w:pStyle w:val="Compact"/>
        <w:numPr>
          <w:ilvl w:val="0"/>
          <w:numId w:val="1007"/>
        </w:numPr>
      </w:pPr>
      <w:r>
        <w:t xml:space="preserve">A meaningful deceleration in mortgage Scores revenue accompanied by cautious volume commentary.</w:t>
      </w:r>
    </w:p>
    <w:p>
      <w:pPr>
        <w:pStyle w:val="Compact"/>
        <w:numPr>
          <w:ilvl w:val="0"/>
          <w:numId w:val="1007"/>
        </w:numPr>
      </w:pPr>
      <w:r>
        <w:t xml:space="preserve">Signs that price/mix—not underlying demand—is driving the bulk of Scores outperformance.</w:t>
      </w:r>
    </w:p>
    <w:p>
      <w:pPr>
        <w:pStyle w:val="Compact"/>
        <w:numPr>
          <w:ilvl w:val="0"/>
          <w:numId w:val="1007"/>
        </w:numPr>
      </w:pPr>
      <w:r>
        <w:t xml:space="preserve">Platform ARR or bookings weaken, or non-platform runoff accelerates enough to suppress overall Software growth.</w:t>
      </w:r>
    </w:p>
    <w:p>
      <w:pPr>
        <w:pStyle w:val="Compact"/>
        <w:numPr>
          <w:ilvl w:val="0"/>
          <w:numId w:val="1007"/>
        </w:numPr>
      </w:pPr>
      <w:r>
        <w:t xml:space="preserve">A reduction in FY26 guidance, especially if caused by mortgage volumes, direct-licensing revenue timing beyond prior expectations, or increased competitive/regulatory uncertainty.</w:t>
      </w:r>
    </w:p>
    <w:p>
      <w:pPr>
        <w:pStyle w:val="Compact"/>
        <w:numPr>
          <w:ilvl w:val="0"/>
          <w:numId w:val="1007"/>
        </w:numPr>
      </w:pPr>
      <w:r>
        <w:t xml:space="preserve">Less confidence that FICO Score 10T implementation will proceed smoothly or that FICO’s mortgage-score economics will remain intact.</w:t>
      </w:r>
    </w:p>
    <w:p>
      <w:r>
        <w:pict>
          <v:rect style="width:0;height:1.5pt" o:hralign="center" o:hrstd="t" o:hr="t"/>
        </w:pict>
      </w:r>
    </w:p>
    <w:bookmarkEnd w:id="18"/>
    <w:bookmarkEnd w:id="19"/>
    <w:bookmarkStart w:id="20" w:name="bottom-line"/>
    <w:p>
      <w:pPr>
        <w:pStyle w:val="Heading2"/>
      </w:pPr>
      <w:r>
        <w:t xml:space="preserve">Bottom line</w:t>
      </w:r>
    </w:p>
    <w:p>
      <w:pPr>
        <w:pStyle w:val="FirstParagraph"/>
      </w:pPr>
      <w:r>
        <w:t xml:space="preserve">FICO has entered the report with a high-quality but high-expectations setup. The company’s fiscal 2Q performance demonstrated exceptional pricing power and operating leverage in Scores, while Software showed attractive platform adoption beneath a still-modest consolidated growth rate.</w:t>
      </w:r>
    </w:p>
    <w:p>
      <w:pPr>
        <w:pStyle w:val="BodyText"/>
      </w:pPr>
      <w:r>
        <w:t xml:space="preserve">For this quarter, the</w:t>
      </w:r>
      <w:r>
        <w:t xml:space="preserve"> </w:t>
      </w:r>
      <w:r>
        <w:rPr>
          <w:b/>
          <w:bCs/>
        </w:rPr>
        <w:t xml:space="preserve">most investable signals</w:t>
      </w:r>
      <w:r>
        <w:t xml:space="preserve"> </w:t>
      </w:r>
      <w:r>
        <w:t xml:space="preserve">are likely to be:</w:t>
      </w:r>
      <w:r>
        <w:t xml:space="preserve"> </w:t>
      </w:r>
      <w:r>
        <w:rPr>
          <w:b/>
          <w:bCs/>
        </w:rPr>
        <w:t xml:space="preserve">(1)</w:t>
      </w:r>
      <w:r>
        <w:t xml:space="preserve"> </w:t>
      </w:r>
      <w:r>
        <w:t xml:space="preserve">whether mortgage Scores growth remains resilient on a tougher comparison,</w:t>
      </w:r>
      <w:r>
        <w:t xml:space="preserve"> </w:t>
      </w:r>
      <w:r>
        <w:rPr>
          <w:b/>
          <w:bCs/>
        </w:rPr>
        <w:t xml:space="preserve">(2)</w:t>
      </w:r>
      <w:r>
        <w:t xml:space="preserve"> </w:t>
      </w:r>
      <w:r>
        <w:t xml:space="preserve">whether platform growth begins to lift overall Software revenue more meaningfully, and</w:t>
      </w:r>
      <w:r>
        <w:t xml:space="preserve"> </w:t>
      </w:r>
      <w:r>
        <w:rPr>
          <w:b/>
          <w:bCs/>
        </w:rPr>
        <w:t xml:space="preserve">(3)</w:t>
      </w:r>
      <w:r>
        <w:t xml:space="preserve"> </w:t>
      </w:r>
      <w:r>
        <w:t xml:space="preserve">whether management provides concrete progress on FICO Score 10T direct licensing and mortgage modernization.</w:t>
      </w:r>
    </w:p>
    <w:p>
      <w:pPr>
        <w:pStyle w:val="BodyText"/>
      </w:pPr>
      <w:r>
        <w:t xml:space="preserve">A guidance raise plus tangible implementation progress would reinforce the bull case that FICO’s earnings power remains underappreciated. A simple beat without those qualitative markers may be insufficient given the stock’s roughly 32% move since the prior report and its premium valuation.</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2026-07-29T01:28:03Z</dcterms:created>
  <dcterms:modified xsi:type="dcterms:W3CDTF">2026-07-29T01:28:03Z</dcterms:modified>
</cp:coreProperties>
</file>

<file path=docProps/custom.xml><?xml version="1.0" encoding="utf-8"?>
<Properties xmlns="http://schemas.openxmlformats.org/officeDocument/2006/custom-properties" xmlns:vt="http://schemas.openxmlformats.org/officeDocument/2006/docPropsVTypes"/>
</file>