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lex-earnings-predictions--2026-07-29"/>
    <w:p>
      <w:pPr>
        <w:pStyle w:val="Heading1"/>
      </w:pPr>
      <w:r>
        <w:t xml:space="preserve">FLEX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Q1 FY27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~$7.75B vs. cons $7.58B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Q1 FY27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~$0.97 vs. cons $0.93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Q1 FY27 Adj.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~6.7% vs. cons ~6.4%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Full-Year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raised to ~$33.5B vs. cons $32.8B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Full-Year Adj.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raised to ~$4.45 vs. cons $4.21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FY27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7.8B (Q2 FY27)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CPI segment growth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raised to ~75%+ vs. cons ~70%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+6.5%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+8.0% (FOLLOW-THROUGH)</w:t>
            </w:r>
          </w:p>
        </w:tc>
        <w:tc>
          <w:tcPr/>
          <w:p>
            <w:pPr>
              <w:pStyle w:val="Compact"/>
            </w:pPr>
            <w:r>
              <w:t xml:space="preserve">A beat-and-raise (Q1 rev/EPS above the already-above-guide consensus of</w:t>
            </w:r>
            <w:r>
              <w:t xml:space="preserve"> </w:t>
            </w:r>
            <m:oMath>
              <m:r>
                <m:t>7.58</m:t>
              </m:r>
              <m:r>
                <m:t>B</m:t>
              </m:r>
              <m:r>
                <m:rPr>
                  <m:sty m:val="p"/>
                </m:rPr>
                <m:t>/</m:t>
              </m:r>
            </m:oMath>
            <w:r>
              <w:t xml:space="preserve">0.93, plus a lifted FY27/CPI outlook toward the top of the $4.21-4.51 range) triggers upward estimate revisions off a stock that has already unwound ~30% from June highs — de-risking the high bar and setting up an oversold, CLS-style relief rally rather than a SANM-style punishment. Out-period math is supportive: CPI is back-half weighted, so a reaffirmed/raised FY guide implies rising forward quarters and pulls estimates up. Risk to follow-through is FLEX's high beta to the late-July AI-capex 'digestion' scare and any lack of spin-off/backlog clarity, which could cap or reverse gains — hence only medium-low conviction on the magnitude.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2026-07-29T00:44:47Z</dcterms:created>
  <dcterms:modified xsi:type="dcterms:W3CDTF">2026-07-29T00:44:47Z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