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FLEX before writing the preview. Let me start by gathering recent filings, transcripts, and news.Let me read the most recent earnings call transcript and release for guidance details.Let me get recent stock price performance and broader news context.Let me check peer read-throughs (Celestica, Sanmina both moved sharply around 7/28) and any recent FLEX-specific news.Let me quickly check the peer read-throughs from Sanmina and Celestica, which just reported.I have enough to write a well-grounded preview. Here it is.</w:t>
      </w:r>
    </w:p>
    <w:p>
      <w:r>
        <w:pict>
          <v:rect style="width:0;height:1.5pt" o:hralign="center" o:hrstd="t" o:hr="t"/>
        </w:pict>
      </w:r>
    </w:p>
    <w:bookmarkStart w:id="20" w:name="flex-ltd-flex--earnings-preview"/>
    <w:p>
      <w:pPr>
        <w:pStyle w:val="Heading1"/>
      </w:pPr>
      <w:r>
        <w:t xml:space="preserve">FLEX Ltd. (FLEX) — Earnings Preview</w:t>
      </w:r>
    </w:p>
    <w:bookmarkStart w:id="9" w:name="Xb1596502de77e548c18bae6a7a4706e3296ce91"/>
    <w:p>
      <w:pPr>
        <w:pStyle w:val="Heading3"/>
      </w:pPr>
      <w:r>
        <w:t xml:space="preserve">Fiscal Q1 2027 (quarter ended June 2026) — reporting Wed, July 29, 2026 (after close)</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FLEX heads into this print as a stock that has been re-rated into an AI/data-center growth story — and is now caught in the middle of a violent sentiment reset in that exact trade. The bar is high, the guidance framework is already public, and the single most important variable may not be the June quarter at all, but</w:t>
      </w:r>
      <w:r>
        <w:t xml:space="preserve"> </w:t>
      </w:r>
      <w:r>
        <w:rPr>
          <w:b/>
          <w:bCs/>
        </w:rPr>
        <w:t xml:space="preserve">any incremental detail on the planned spin-off of the Cloud &amp; Power Infrastructure (CPI) segment.</w:t>
      </w:r>
    </w:p>
    <w:p>
      <w:r>
        <w:pict>
          <v:rect style="width:0;height:1.5pt" o:hralign="center" o:hrstd="t" o:hr="t"/>
        </w:pict>
      </w:r>
    </w:p>
    <w:bookmarkEnd w:id="10"/>
    <w:bookmarkStart w:id="11" w:name="X7a00ffc658371437c9e8a9fd972e7f11454daec"/>
    <w:p>
      <w:pPr>
        <w:pStyle w:val="Heading2"/>
      </w:pPr>
      <w:r>
        <w:t xml:space="preserve">1. Price action &amp; sentiment — the bar is high, but the air has come out</w:t>
      </w:r>
    </w:p>
    <w:p>
      <w:pPr>
        <w:pStyle w:val="Compact"/>
        <w:numPr>
          <w:ilvl w:val="0"/>
          <w:numId w:val="1001"/>
        </w:numPr>
      </w:pPr>
      <w:r>
        <w:t xml:space="preserve">FLEX roughly</w:t>
      </w:r>
      <w:r>
        <w:t xml:space="preserve"> </w:t>
      </w:r>
      <w:r>
        <w:rPr>
          <w:b/>
          <w:bCs/>
        </w:rPr>
        <w:t xml:space="preserve">doubled off April lows (~</w:t>
      </w:r>
      <m:oMath>
        <m:r>
          <m:t>68</m:t>
        </m:r>
        <m:r>
          <m:rPr>
            <m:sty m:val="p"/>
          </m:rPr>
          <m:t>)</m:t>
        </m:r>
        <m:r>
          <m:t>t</m:t>
        </m:r>
        <m:r>
          <m:t>o</m:t>
        </m:r>
        <m:r>
          <m:t>a</m:t>
        </m:r>
        <m:r>
          <m:t>p</m:t>
        </m:r>
        <m:r>
          <m:t>e</m:t>
        </m:r>
        <m:r>
          <m:t>a</m:t>
        </m:r>
        <m:r>
          <m:t>k</m:t>
        </m:r>
        <m:r>
          <m:t>o</m:t>
        </m:r>
        <m:r>
          <m:t>f</m:t>
        </m:r>
        <m:r>
          <m:t> </m:t>
        </m:r>
      </m:oMath>
      <w:r>
        <w:rPr>
          <w:b/>
          <w:bCs/>
        </w:rPr>
        <w:t xml:space="preserve">162 on June 30</w:t>
      </w:r>
      <w:r>
        <w:t xml:space="preserve">, driven by the FY26 print and the surprise spin announcement (the stock jumped from ~</w:t>
      </w:r>
      <m:oMath>
        <m:r>
          <m:t>96</m:t>
        </m:r>
        <m:r>
          <m:t>t</m:t>
        </m:r>
        <m:r>
          <m:t>o</m:t>
        </m:r>
        <m:r>
          <m:t> </m:t>
        </m:r>
      </m:oMath>
      <w:r>
        <w:t xml:space="preserve">135 on the May 6 earnings/spin day alone).</w:t>
      </w:r>
    </w:p>
    <w:p>
      <w:pPr>
        <w:pStyle w:val="Compact"/>
        <w:numPr>
          <w:ilvl w:val="0"/>
          <w:numId w:val="1001"/>
        </w:numPr>
      </w:pPr>
      <w:r>
        <w:t xml:space="preserve">Since then it has</w:t>
      </w:r>
      <w:r>
        <w:t xml:space="preserve"> </w:t>
      </w:r>
      <w:r>
        <w:rPr>
          <w:b/>
          <w:bCs/>
        </w:rPr>
        <w:t xml:space="preserve">fallen ~30% to ~$113 (July 28)</w:t>
      </w:r>
      <w:r>
        <w:t xml:space="preserve">, mirroring a sharp, late-July unwind across AI hardware/semis, where "buy the dip" gave way to fear over frothy valuations and AI-capex sustainability (SK Hynix, ASML, Amkor all hit).</w:t>
      </w:r>
    </w:p>
    <w:p>
      <w:pPr>
        <w:pStyle w:val="Compact"/>
        <w:numPr>
          <w:ilvl w:val="0"/>
          <w:numId w:val="1001"/>
        </w:numPr>
      </w:pPr>
      <w:r>
        <w:t xml:space="preserve">The setup coming in is explicitly two-sided: consensus sentiment is</w:t>
      </w:r>
      <w:r>
        <w:t xml:space="preserve"> </w:t>
      </w:r>
      <w:r>
        <w:rPr>
          <w:b/>
          <w:bCs/>
        </w:rPr>
        <w:t xml:space="preserve">"very bullish" on CPI growth, but the bar is high, with investors expecting upside on both the quarter and the forward guide.</w:t>
      </w:r>
      <w:r>
        <w:t xml:space="preserve"> </w:t>
      </w:r>
      <w:r>
        <w:t xml:space="preserve">In this tape, a mere in-line print may not be enough.</w:t>
      </w:r>
    </w:p>
    <w:p>
      <w:pPr>
        <w:pStyle w:val="FirstParagraph"/>
      </w:pPr>
      <w:r>
        <w:rPr>
          <w:b/>
          <w:bCs/>
        </w:rPr>
        <w:t xml:space="preserve">Peer read-throughs from the last 48 hours (important):</w:t>
      </w:r>
    </w:p>
    <w:p>
      <w:pPr>
        <w:pStyle w:val="Compact"/>
        <w:numPr>
          <w:ilvl w:val="0"/>
          <w:numId w:val="1002"/>
        </w:numPr>
      </w:pPr>
      <w:r>
        <w:rPr>
          <w:b/>
          <w:bCs/>
        </w:rPr>
        <w:t xml:space="preserve">Celestica (CLS)</w:t>
      </w:r>
      <w:r>
        <w:t xml:space="preserve"> </w:t>
      </w:r>
      <w:r>
        <w:t xml:space="preserve">— the cleanest comp for the AI/data-center EMS trade — delivered a strong beat-and-raise (Q2 sales +62% to $4.7B, raised FY to $11.30 EPS / $20.5B). Stock</w:t>
      </w:r>
      <w:r>
        <w:t xml:space="preserve"> </w:t>
      </w:r>
      <w:r>
        <w:rPr>
          <w:b/>
          <w:bCs/>
        </w:rPr>
        <w:t xml:space="preserve">+10%</w:t>
      </w:r>
      <w:r>
        <w:t xml:space="preserve">. This sets a high anchor for FLEX's CPI narrative.</w:t>
      </w:r>
    </w:p>
    <w:p>
      <w:pPr>
        <w:pStyle w:val="Compact"/>
        <w:numPr>
          <w:ilvl w:val="0"/>
          <w:numId w:val="1002"/>
        </w:numPr>
      </w:pPr>
      <w:r>
        <w:rPr>
          <w:b/>
          <w:bCs/>
        </w:rPr>
        <w:t xml:space="preserve">Sanmina (SANM)</w:t>
      </w:r>
      <w:r>
        <w:t xml:space="preserve"> </w:t>
      </w:r>
      <w:r>
        <w:t xml:space="preserve">— beat on EPS ($3.31 vs. $2.77) but guided next-quarter revenue light. Stock</w:t>
      </w:r>
      <w:r>
        <w:t xml:space="preserve"> </w:t>
      </w:r>
      <w:r>
        <w:rPr>
          <w:b/>
          <w:bCs/>
        </w:rPr>
        <w:t xml:space="preserve">~-17%</w:t>
      </w:r>
      <w:r>
        <w:t xml:space="preserve">. The lesson: in this market, a soft top-line/guide gets punished hard even on an EPS beat.</w:t>
      </w:r>
    </w:p>
    <w:p>
      <w:pPr>
        <w:pStyle w:val="FirstParagraph"/>
      </w:pPr>
      <w:r>
        <w:t xml:space="preserve">Net: the market is rewarding acceleration and punishing any hint of deceleration. FLEX must clear a "CLS bar," not a "SANM bar."</w:t>
      </w:r>
    </w:p>
    <w:p>
      <w:r>
        <w:pict>
          <v:rect style="width:0;height:1.5pt" o:hralign="center" o:hrstd="t" o:hr="t"/>
        </w:pict>
      </w:r>
    </w:p>
    <w:bookmarkEnd w:id="11"/>
    <w:bookmarkStart w:id="12" w:name="X6a8f2ad25ea117e0f1fefa4ee30ae737ffeb7d0"/>
    <w:p>
      <w:pPr>
        <w:pStyle w:val="Heading2"/>
      </w:pPr>
      <w:r>
        <w:t xml:space="preserve">2. What management already told us (the goalposts)</w:t>
      </w:r>
    </w:p>
    <w:p>
      <w:pPr>
        <w:pStyle w:val="FirstParagraph"/>
      </w:pPr>
      <w:r>
        <w:rPr>
          <w:b/>
          <w:bCs/>
        </w:rPr>
        <w:t xml:space="preserve">Q1 FY27 guidance (given May 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Guide</w:t>
            </w:r>
          </w:p>
        </w:tc>
        <w:tc>
          <w:tcPr/>
          <w:p>
            <w:pPr>
              <w:pStyle w:val="Compact"/>
            </w:pPr>
            <w:r>
              <w:t xml:space="preserve">Notes</w:t>
            </w:r>
          </w:p>
        </w:tc>
      </w:tr>
      <w:tr>
        <w:tc>
          <w:tcPr/>
          <w:p>
            <w:pPr>
              <w:pStyle w:val="Compact"/>
            </w:pPr>
            <w:r>
              <w:t xml:space="preserve">Revenue</w:t>
            </w:r>
          </w:p>
        </w:tc>
        <w:tc>
          <w:tcPr/>
          <w:p>
            <w:pPr>
              <w:pStyle w:val="Compact"/>
            </w:pPr>
            <w:r>
              <w:t xml:space="preserve">$7.35B – $7.65B</w:t>
            </w:r>
          </w:p>
        </w:tc>
        <w:tc>
          <w:tcPr/>
          <w:p>
            <w:pPr>
              <w:pStyle w:val="Compact"/>
            </w:pPr>
            <w:r>
              <w:t xml:space="preserve">+14% YoY at midpoint</w:t>
            </w:r>
          </w:p>
        </w:tc>
      </w:tr>
      <w:tr>
        <w:tc>
          <w:tcPr/>
          <w:p>
            <w:pPr>
              <w:pStyle w:val="Compact"/>
            </w:pPr>
            <w:r>
              <w:t xml:space="preserve">Adj. operating income</w:t>
            </w:r>
          </w:p>
        </w:tc>
        <w:tc>
          <w:tcPr/>
          <w:p>
            <w:pPr>
              <w:pStyle w:val="Compact"/>
            </w:pPr>
            <w:r>
              <w:t xml:space="preserve">$469M – $499M</w:t>
            </w:r>
          </w:p>
        </w:tc>
        <w:tc>
          <w:tcPr/>
          <w:p>
            <w:pPr>
              <w:pStyle w:val="Compact"/>
            </w:pPr>
          </w:p>
        </w:tc>
      </w:tr>
      <w:tr>
        <w:tc>
          <w:tcPr/>
          <w:p>
            <w:pPr>
              <w:pStyle w:val="Compact"/>
            </w:pPr>
            <w:r>
              <w:t xml:space="preserve">Adj. EPS</w:t>
            </w:r>
          </w:p>
        </w:tc>
        <w:tc>
          <w:tcPr/>
          <w:p>
            <w:pPr>
              <w:pStyle w:val="Compact"/>
            </w:pPr>
            <w:r>
              <w:t xml:space="preserve">$0.86 – $0.92</w:t>
            </w:r>
          </w:p>
        </w:tc>
        <w:tc>
          <w:tcPr/>
          <w:p>
            <w:pPr>
              <w:pStyle w:val="Compact"/>
            </w:pPr>
            <w:r>
              <w:t xml:space="preserve">+24% YoY at midpoint</w:t>
            </w:r>
          </w:p>
        </w:tc>
      </w:tr>
      <w:tr>
        <w:tc>
          <w:tcPr/>
          <w:p>
            <w:pPr>
              <w:pStyle w:val="Compact"/>
            </w:pPr>
            <w:r>
              <w:t xml:space="preserve">Interest &amp; other</w:t>
            </w:r>
          </w:p>
        </w:tc>
        <w:tc>
          <w:tcPr/>
          <w:p>
            <w:pPr>
              <w:pStyle w:val="Compact"/>
            </w:pPr>
            <w:r>
              <w:t xml:space="preserve">~$65M</w:t>
            </w:r>
          </w:p>
        </w:tc>
        <w:tc>
          <w:tcPr/>
          <w:p>
            <w:pPr>
              <w:pStyle w:val="Compact"/>
            </w:pPr>
          </w:p>
        </w:tc>
      </w:tr>
      <w:tr>
        <w:tc>
          <w:tcPr/>
          <w:p>
            <w:pPr>
              <w:pStyle w:val="Compact"/>
            </w:pPr>
            <w:r>
              <w:t xml:space="preserve">Adj. tax rate</w:t>
            </w:r>
          </w:p>
        </w:tc>
        <w:tc>
          <w:tcPr/>
          <w:p>
            <w:pPr>
              <w:pStyle w:val="Compact"/>
            </w:pPr>
            <w:r>
              <w:t xml:space="preserve">~21%</w:t>
            </w:r>
          </w:p>
        </w:tc>
        <w:tc>
          <w:tcPr/>
          <w:p>
            <w:pPr>
              <w:pStyle w:val="Compact"/>
            </w:pPr>
          </w:p>
        </w:tc>
      </w:tr>
      <w:tr>
        <w:tc>
          <w:tcPr/>
          <w:p>
            <w:pPr>
              <w:pStyle w:val="Compact"/>
            </w:pPr>
            <w:r>
              <w:t xml:space="preserve">Share count</w:t>
            </w:r>
          </w:p>
        </w:tc>
        <w:tc>
          <w:tcPr/>
          <w:p>
            <w:pPr>
              <w:pStyle w:val="Compact"/>
            </w:pPr>
            <w:r>
              <w:t xml:space="preserve">~374M</w:t>
            </w:r>
          </w:p>
        </w:tc>
        <w:tc>
          <w:tcPr/>
          <w:p>
            <w:pPr>
              <w:pStyle w:val="Compact"/>
            </w:pPr>
          </w:p>
        </w:tc>
      </w:tr>
    </w:tbl>
    <w:p>
      <w:pPr>
        <w:pStyle w:val="BodyText"/>
      </w:pPr>
      <w:r>
        <w:rPr>
          <w:b/>
          <w:bCs/>
        </w:rPr>
        <w:t xml:space="preserve">Q1 segment guide:</w:t>
      </w:r>
    </w:p>
    <w:p>
      <w:pPr>
        <w:pStyle w:val="Compact"/>
        <w:numPr>
          <w:ilvl w:val="0"/>
          <w:numId w:val="1003"/>
        </w:numPr>
      </w:pPr>
      <w:r>
        <w:rPr>
          <w:b/>
          <w:bCs/>
        </w:rPr>
        <w:t xml:space="preserve">RMS</w:t>
      </w:r>
      <w:r>
        <w:t xml:space="preserve"> </w:t>
      </w:r>
      <w:r>
        <w:t xml:space="preserve">(Regulated Mfg. Solutions — industrial, auto, healthcare): up</w:t>
      </w:r>
      <w:r>
        <w:t xml:space="preserve"> </w:t>
      </w:r>
      <w:r>
        <w:rPr>
          <w:b/>
          <w:bCs/>
        </w:rPr>
        <w:t xml:space="preserve">high-single to low-double digits</w:t>
      </w:r>
    </w:p>
    <w:p>
      <w:pPr>
        <w:pStyle w:val="Compact"/>
        <w:numPr>
          <w:ilvl w:val="0"/>
          <w:numId w:val="1003"/>
        </w:numPr>
      </w:pPr>
      <w:r>
        <w:rPr>
          <w:b/>
          <w:bCs/>
        </w:rPr>
        <w:t xml:space="preserve">ITS</w:t>
      </w:r>
      <w:r>
        <w:t xml:space="preserve"> </w:t>
      </w:r>
      <w:r>
        <w:t xml:space="preserve">(Integrated Tech Solutions — comms + lifestyle/consumer): up</w:t>
      </w:r>
      <w:r>
        <w:t xml:space="preserve"> </w:t>
      </w:r>
      <w:r>
        <w:rPr>
          <w:b/>
          <w:bCs/>
        </w:rPr>
        <w:t xml:space="preserve">high-single to low-double digits</w:t>
      </w:r>
    </w:p>
    <w:p>
      <w:pPr>
        <w:pStyle w:val="Compact"/>
        <w:numPr>
          <w:ilvl w:val="0"/>
          <w:numId w:val="1003"/>
        </w:numPr>
      </w:pPr>
      <w:r>
        <w:rPr>
          <w:b/>
          <w:bCs/>
        </w:rPr>
        <w:t xml:space="preserve">CPI</w:t>
      </w:r>
      <w:r>
        <w:t xml:space="preserve"> </w:t>
      </w:r>
      <w:r>
        <w:t xml:space="preserve">(Cloud &amp; Power Infrastructure): up</w:t>
      </w:r>
      <w:r>
        <w:t xml:space="preserve"> </w:t>
      </w:r>
      <w:r>
        <w:rPr>
          <w:b/>
          <w:bCs/>
        </w:rPr>
        <w:t xml:space="preserve">20–30%</w:t>
      </w:r>
      <w:r>
        <w:t xml:space="preserve"> </w:t>
      </w:r>
      <w:r>
        <w:t xml:space="preserve">— and management flagged CPI growth is</w:t>
      </w:r>
      <w:r>
        <w:t xml:space="preserve"> </w:t>
      </w:r>
      <w:r>
        <w:rPr>
          <w:b/>
          <w:bCs/>
        </w:rPr>
        <w:t xml:space="preserve">back-half weighted</w:t>
      </w:r>
      <w:r>
        <w:t xml:space="preserve">, as FY26 capacity investments come online to serve recent program wins. Don't be surprised if Q1 CPI growth looks "only" ~20-30% while the full-year target is 65–75%.</w:t>
      </w:r>
    </w:p>
    <w:p>
      <w:pPr>
        <w:pStyle w:val="FirstParagraph"/>
      </w:pPr>
      <w:r>
        <w:rPr>
          <w:b/>
          <w:bCs/>
        </w:rPr>
        <w:t xml:space="preserve">Full-year FY27 framework (the number that actually matters for the stock):</w:t>
      </w:r>
    </w:p>
    <w:p>
      <w:pPr>
        <w:pStyle w:val="Compact"/>
        <w:numPr>
          <w:ilvl w:val="0"/>
          <w:numId w:val="1004"/>
        </w:numPr>
      </w:pPr>
      <w:r>
        <w:t xml:space="preserve">Revenue</w:t>
      </w:r>
      <w:r>
        <w:t xml:space="preserve"> </w:t>
      </w:r>
      <m:oMath>
        <m:r>
          <m:t>32.3</m:t>
        </m:r>
        <m:r>
          <m:t>B</m:t>
        </m:r>
        <m:r>
          <m:rPr>
            <m:sty m:val="p"/>
          </m:rPr>
          <m:t>–</m:t>
        </m:r>
      </m:oMath>
      <w:r>
        <w:rPr>
          <w:b/>
          <w:bCs/>
        </w:rPr>
        <w:t xml:space="preserve">33.8B (+18%)</w:t>
      </w:r>
      <w:r>
        <w:t xml:space="preserve">, Adj. operating margin</w:t>
      </w:r>
      <w:r>
        <w:t xml:space="preserve"> </w:t>
      </w:r>
      <w:r>
        <w:rPr>
          <w:b/>
          <w:bCs/>
        </w:rPr>
        <w:t xml:space="preserve">7.0–7.1%</w:t>
      </w:r>
      <w:r>
        <w:t xml:space="preserve"> </w:t>
      </w:r>
      <w:r>
        <w:t xml:space="preserve">(+~80bps), Adj. EPS</w:t>
      </w:r>
      <w:r>
        <w:t xml:space="preserve"> </w:t>
      </w:r>
      <m:oMath>
        <m:r>
          <m:t>4.21</m:t>
        </m:r>
        <m:r>
          <m:rPr>
            <m:sty m:val="p"/>
          </m:rPr>
          <m:t>–</m:t>
        </m:r>
      </m:oMath>
      <w:r>
        <w:rPr>
          <w:b/>
          <w:bCs/>
        </w:rPr>
        <w:t xml:space="preserve">4.51 (+32%)</w:t>
      </w:r>
      <w:r>
        <w:t xml:space="preserve">.</w:t>
      </w:r>
    </w:p>
    <w:p>
      <w:pPr>
        <w:pStyle w:val="Compact"/>
        <w:numPr>
          <w:ilvl w:val="0"/>
          <w:numId w:val="1004"/>
        </w:numPr>
      </w:pPr>
      <w:r>
        <w:rPr>
          <w:b/>
          <w:bCs/>
        </w:rPr>
        <w:t xml:space="preserve">CPI +65–75%</w:t>
      </w:r>
      <w:r>
        <w:t xml:space="preserve"> </w:t>
      </w:r>
      <w:r>
        <w:t xml:space="preserve">in FY27, accelerating to</w:t>
      </w:r>
      <w:r>
        <w:t xml:space="preserve"> </w:t>
      </w:r>
      <w:r>
        <w:rPr>
          <w:b/>
          <w:bCs/>
        </w:rPr>
        <w:t xml:space="preserve">+80%+</w:t>
      </w:r>
      <w:r>
        <w:t xml:space="preserve"> </w:t>
      </w:r>
      <w:r>
        <w:t xml:space="preserve">in FY28.</w:t>
      </w:r>
    </w:p>
    <w:p>
      <w:pPr>
        <w:pStyle w:val="Compact"/>
        <w:numPr>
          <w:ilvl w:val="0"/>
          <w:numId w:val="1004"/>
        </w:numPr>
      </w:pPr>
      <w:r>
        <w:rPr>
          <w:b/>
          <w:bCs/>
        </w:rPr>
        <w:t xml:space="preserve">This is the key debate:</w:t>
      </w:r>
      <w:r>
        <w:t xml:space="preserve"> </w:t>
      </w:r>
      <w:r>
        <w:t xml:space="preserve">does FLEX raise the full-year (especially CPI) after one quarter? Given CLS just raised and the "high bar," an unchanged guide could be read as a disappointment even if Q1 beats.</w:t>
      </w:r>
    </w:p>
    <w:p>
      <w:r>
        <w:pict>
          <v:rect style="width:0;height:1.5pt" o:hralign="center" o:hrstd="t" o:hr="t"/>
        </w:pict>
      </w:r>
    </w:p>
    <w:bookmarkEnd w:id="12"/>
    <w:bookmarkStart w:id="13" w:name="Xa7a0e01bea9dca6530099922192ebf87800ac30"/>
    <w:p>
      <w:pPr>
        <w:pStyle w:val="Heading2"/>
      </w:pPr>
      <w:r>
        <w:t xml:space="preserve">3. The spin-off is the story — watch for progress markers</w:t>
      </w:r>
    </w:p>
    <w:p>
      <w:pPr>
        <w:pStyle w:val="FirstParagraph"/>
      </w:pPr>
      <w:r>
        <w:t xml:space="preserve">On May 5, FLEX announced its intent to</w:t>
      </w:r>
      <w:r>
        <w:t xml:space="preserve"> </w:t>
      </w:r>
      <w:r>
        <w:rPr>
          <w:b/>
          <w:bCs/>
        </w:rPr>
        <w:t xml:space="preserve">spin off CPI into a separate publicly traded company</w:t>
      </w:r>
      <w:r>
        <w:t xml:space="preserve">, targeting completion in</w:t>
      </w:r>
      <w:r>
        <w:t xml:space="preserve"> </w:t>
      </w:r>
      <w:r>
        <w:rPr>
          <w:b/>
          <w:bCs/>
        </w:rPr>
        <w:t xml:space="preserve">calendar Q1 2027</w:t>
      </w:r>
      <w:r>
        <w:t xml:space="preserve">. Structure to remember:</w:t>
      </w:r>
    </w:p>
    <w:p>
      <w:pPr>
        <w:pStyle w:val="Compact"/>
        <w:numPr>
          <w:ilvl w:val="0"/>
          <w:numId w:val="1005"/>
        </w:numPr>
      </w:pPr>
      <w:r>
        <w:rPr>
          <w:b/>
          <w:bCs/>
        </w:rPr>
        <w:t xml:space="preserve">Revathi Advaithi</w:t>
      </w:r>
      <w:r>
        <w:t xml:space="preserve"> </w:t>
      </w:r>
      <w:r>
        <w:t xml:space="preserve">becomes CEO of "SpinCo" (the CPI/data-center power &amp; thermal business);</w:t>
      </w:r>
      <w:r>
        <w:t xml:space="preserve"> </w:t>
      </w:r>
      <w:r>
        <w:rPr>
          <w:b/>
          <w:bCs/>
        </w:rPr>
        <w:t xml:space="preserve">Michael Hartung</w:t>
      </w:r>
      <w:r>
        <w:t xml:space="preserve"> </w:t>
      </w:r>
      <w:r>
        <w:t xml:space="preserve">becomes CEO of RemainCo Flex.</w:t>
      </w:r>
    </w:p>
    <w:p>
      <w:pPr>
        <w:pStyle w:val="Compact"/>
        <w:numPr>
          <w:ilvl w:val="0"/>
          <w:numId w:val="1005"/>
        </w:numPr>
      </w:pPr>
      <w:r>
        <w:t xml:space="preserve">SpinCo is pitched as a</w:t>
      </w:r>
      <w:r>
        <w:t xml:space="preserve"> </w:t>
      </w:r>
      <w:r>
        <w:rPr>
          <w:b/>
          <w:bCs/>
        </w:rPr>
        <w:t xml:space="preserve">"grid-to-chip" critical digital infrastructure</w:t>
      </w:r>
      <w:r>
        <w:t xml:space="preserve"> </w:t>
      </w:r>
      <w:r>
        <w:t xml:space="preserve">company — power (embedded/distributed/utility-grade), thermal/cooling, and rack-scale compute integration — riding the shift to 800V DC and solid-state transformers.</w:t>
      </w:r>
    </w:p>
    <w:p>
      <w:pPr>
        <w:pStyle w:val="Compact"/>
        <w:numPr>
          <w:ilvl w:val="0"/>
          <w:numId w:val="1005"/>
        </w:numPr>
      </w:pPr>
      <w:r>
        <w:t xml:space="preserve">The</w:t>
      </w:r>
      <w:r>
        <w:t xml:space="preserve"> </w:t>
      </w:r>
      <w:r>
        <w:rPr>
          <w:b/>
          <w:bCs/>
        </w:rPr>
        <w:t xml:space="preserve">Investor Day was postponed to the fall</w:t>
      </w:r>
      <w:r>
        <w:t xml:space="preserve">, and standalone financials are promised "at the appropriate time."</w:t>
      </w:r>
    </w:p>
    <w:p>
      <w:pPr>
        <w:pStyle w:val="FirstParagraph"/>
      </w:pPr>
      <w:r>
        <w:rPr>
          <w:b/>
          <w:bCs/>
        </w:rPr>
        <w:t xml:space="preserve">What to listen for on the call:</w:t>
      </w:r>
    </w:p>
    <w:p>
      <w:pPr>
        <w:pStyle w:val="Compact"/>
        <w:numPr>
          <w:ilvl w:val="0"/>
          <w:numId w:val="1006"/>
        </w:numPr>
      </w:pPr>
      <w:r>
        <w:t xml:space="preserve">Any timeline tightening,</w:t>
      </w:r>
      <w:r>
        <w:t xml:space="preserve"> </w:t>
      </w:r>
      <w:r>
        <w:rPr>
          <w:b/>
          <w:bCs/>
        </w:rPr>
        <w:t xml:space="preserve">Form 10 filing</w:t>
      </w:r>
      <w:r>
        <w:t xml:space="preserve"> </w:t>
      </w:r>
      <w:r>
        <w:t xml:space="preserve">progress, or tax/structure detail.</w:t>
      </w:r>
    </w:p>
    <w:p>
      <w:pPr>
        <w:pStyle w:val="Compact"/>
        <w:numPr>
          <w:ilvl w:val="0"/>
          <w:numId w:val="1006"/>
        </w:numPr>
      </w:pPr>
      <w:r>
        <w:rPr>
          <w:b/>
          <w:bCs/>
        </w:rPr>
        <w:t xml:space="preserve">Standalone segment financials / margin bridges</w:t>
      </w:r>
      <w:r>
        <w:t xml:space="preserve"> </w:t>
      </w:r>
      <w:r>
        <w:t xml:space="preserve">for SpinCo vs. RemainCo.</w:t>
      </w:r>
    </w:p>
    <w:p>
      <w:pPr>
        <w:pStyle w:val="Compact"/>
        <w:numPr>
          <w:ilvl w:val="0"/>
          <w:numId w:val="1006"/>
        </w:numPr>
      </w:pPr>
      <w:r>
        <w:t xml:space="preserve">Whether the ~$32-34B FY27 guide gets re-cut to show the two businesses separately.</w:t>
      </w:r>
    </w:p>
    <w:p>
      <w:pPr>
        <w:pStyle w:val="Compact"/>
        <w:numPr>
          <w:ilvl w:val="0"/>
          <w:numId w:val="1006"/>
        </w:numPr>
      </w:pPr>
      <w:r>
        <w:t xml:space="preserve">Spin dis-synergies / stranded costs and one-time spin costs (already ~$53M of "legal &amp; other" in FY26 tied to the spin/portfolio work).</w:t>
      </w:r>
    </w:p>
    <w:p>
      <w:pPr>
        <w:pStyle w:val="FirstParagraph"/>
      </w:pPr>
      <w:r>
        <w:t xml:space="preserve">Because the spin is the primary value-unlock thesis, incremental clarity here can move the stock more than the quarter.</w:t>
      </w:r>
    </w:p>
    <w:p>
      <w:r>
        <w:pict>
          <v:rect style="width:0;height:1.5pt" o:hralign="center" o:hrstd="t" o:hr="t"/>
        </w:pict>
      </w:r>
    </w:p>
    <w:bookmarkEnd w:id="13"/>
    <w:bookmarkStart w:id="14" w:name="X67c21165ab4752c19d6e9f4f51ec963a96faa27"/>
    <w:p>
      <w:pPr>
        <w:pStyle w:val="Heading2"/>
      </w:pPr>
      <w:r>
        <w:t xml:space="preserve">4. CPI / data center — the growth engine (and the risk)</w:t>
      </w:r>
    </w:p>
    <w:p>
      <w:pPr>
        <w:pStyle w:val="Compact"/>
        <w:numPr>
          <w:ilvl w:val="0"/>
          <w:numId w:val="1007"/>
        </w:numPr>
      </w:pPr>
      <w:r>
        <w:t xml:space="preserve">CPI exited FY26 at</w:t>
      </w:r>
      <w:r>
        <w:t xml:space="preserve"> </w:t>
      </w:r>
      <w:r>
        <w:rPr>
          <w:b/>
          <w:bCs/>
        </w:rPr>
        <w:t xml:space="preserve">$6.6B revenue, +38% YoY</w:t>
      </w:r>
      <w:r>
        <w:t xml:space="preserve">, with a Q4 exit rate of $1.8B (+31%),</w:t>
      </w:r>
      <w:r>
        <w:t xml:space="preserve"> </w:t>
      </w:r>
      <w:r>
        <w:rPr>
          <w:b/>
          <w:bCs/>
        </w:rPr>
        <w:t xml:space="preserve">power growing faster than cloud</w:t>
      </w:r>
      <w:r>
        <w:t xml:space="preserve">, and segment margin ~9.2% for the year (9.9% in Q4).</w:t>
      </w:r>
    </w:p>
    <w:p>
      <w:pPr>
        <w:pStyle w:val="Compact"/>
        <w:numPr>
          <w:ilvl w:val="0"/>
          <w:numId w:val="1007"/>
        </w:numPr>
      </w:pPr>
      <w:r>
        <w:t xml:space="preserve">Growth is underpinned by a</w:t>
      </w:r>
      <w:r>
        <w:t xml:space="preserve"> </w:t>
      </w:r>
      <w:r>
        <w:rPr>
          <w:b/>
          <w:bCs/>
        </w:rPr>
        <w:t xml:space="preserve">multi-year contract with Google plus multiple other hyperscalers, neoclouds, colos and utilities</w:t>
      </w:r>
      <w:r>
        <w:t xml:space="preserve"> </w:t>
      </w:r>
      <w:r>
        <w:t xml:space="preserve">— spanning power infrastructure, thermal, and complex hardware, not just single-product manufacturing.</w:t>
      </w:r>
    </w:p>
    <w:p>
      <w:pPr>
        <w:pStyle w:val="Compact"/>
        <w:numPr>
          <w:ilvl w:val="0"/>
          <w:numId w:val="1007"/>
        </w:numPr>
      </w:pPr>
      <w:r>
        <w:t xml:space="preserve">The recent</w:t>
      </w:r>
      <w:r>
        <w:t xml:space="preserve"> </w:t>
      </w:r>
      <w:r>
        <w:rPr>
          <w:b/>
          <w:bCs/>
        </w:rPr>
        <w:t xml:space="preserve">EP2 (Electrical Power Products) acquisition</w:t>
      </w:r>
      <w:r>
        <w:t xml:space="preserve"> </w:t>
      </w:r>
      <w:r>
        <w:t xml:space="preserve">adds utility-grade grid/switchgear capability ("grid-to-chip").</w:t>
      </w:r>
    </w:p>
    <w:p>
      <w:pPr>
        <w:pStyle w:val="FirstParagraph"/>
      </w:pPr>
      <w:r>
        <w:rPr>
          <w:b/>
          <w:bCs/>
        </w:rPr>
        <w:t xml:space="preserve">The cost of that growth — watch CapEx and free cash flow:</w:t>
      </w:r>
    </w:p>
    <w:p>
      <w:pPr>
        <w:pStyle w:val="Compact"/>
        <w:numPr>
          <w:ilvl w:val="0"/>
          <w:numId w:val="1008"/>
        </w:numPr>
      </w:pPr>
      <w:r>
        <w:t xml:space="preserve">FY27 CapEx guided to</w:t>
      </w:r>
      <w:r>
        <w:t xml:space="preserve"> </w:t>
      </w:r>
      <m:oMath>
        <m:r>
          <m:t>1.4</m:t>
        </m:r>
        <m:r>
          <m:t>B</m:t>
        </m:r>
        <m:r>
          <m:rPr>
            <m:sty m:val="p"/>
          </m:rPr>
          <m:t>–</m:t>
        </m:r>
      </m:oMath>
      <w:r>
        <w:rPr>
          <w:b/>
          <w:bCs/>
        </w:rPr>
        <w:t xml:space="preserve">1.6B (~4-5% of sales)</w:t>
      </w:r>
      <w:r>
        <w:t xml:space="preserve">, a huge step-up from</w:t>
      </w:r>
      <w:r>
        <w:t xml:space="preserve"> </w:t>
      </w:r>
      <w:r>
        <w:rPr>
          <w:b/>
          <w:bCs/>
        </w:rPr>
        <w:t xml:space="preserve">$625M</w:t>
      </w:r>
      <w:r>
        <w:t xml:space="preserve"> </w:t>
      </w:r>
      <w:r>
        <w:t xml:space="preserve">in FY26, with</w:t>
      </w:r>
      <w:r>
        <w:t xml:space="preserve"> </w:t>
      </w:r>
      <w:r>
        <w:rPr>
          <w:b/>
          <w:bCs/>
        </w:rPr>
        <w:t xml:space="preserve">FCF conversion of only ~60%</w:t>
      </w:r>
      <w:r>
        <w:t xml:space="preserve"> </w:t>
      </w:r>
      <w:r>
        <w:t xml:space="preserve">(ex-spin costs). Management frames this as a</w:t>
      </w:r>
      <w:r>
        <w:t xml:space="preserve"> </w:t>
      </w:r>
      <w:r>
        <w:rPr>
          <w:b/>
          <w:bCs/>
        </w:rPr>
        <w:t xml:space="preserve">one-time FY27 build</w:t>
      </w:r>
      <w:r>
        <w:t xml:space="preserve"> </w:t>
      </w:r>
      <w:r>
        <w:t xml:space="preserve">that normalizes to ~2.5–3% of CPI revenue by FY28.</w:t>
      </w:r>
    </w:p>
    <w:p>
      <w:pPr>
        <w:pStyle w:val="Compact"/>
        <w:numPr>
          <w:ilvl w:val="0"/>
          <w:numId w:val="1008"/>
        </w:numPr>
      </w:pPr>
      <w:r>
        <w:t xml:space="preserve">Margin story: management expects to</w:t>
      </w:r>
      <w:r>
        <w:t xml:space="preserve"> </w:t>
      </w:r>
      <w:r>
        <w:rPr>
          <w:b/>
          <w:bCs/>
        </w:rPr>
        <w:t xml:space="preserve">recoup the ~100bps of CPI margin it "invested away" in FY26</w:t>
      </w:r>
      <w:r>
        <w:t xml:space="preserve"> </w:t>
      </w:r>
      <w:r>
        <w:t xml:space="preserve">during FY27, with another 50–100bps in FY28. Cloud margins remain structurally below power margins.</w:t>
      </w:r>
    </w:p>
    <w:p>
      <w:pPr>
        <w:pStyle w:val="FirstParagraph"/>
      </w:pPr>
      <w:r>
        <w:rPr>
          <w:b/>
          <w:bCs/>
        </w:rPr>
        <w:t xml:space="preserve">The macro risk sitting on top of all this:</w:t>
      </w:r>
      <w:r>
        <w:t xml:space="preserve"> </w:t>
      </w:r>
      <w:r>
        <w:t xml:space="preserve">the late-July AI-capex "digestion" scare. FLEX's CPI thesis is directly levered to hyperscaler spend continuing to accelerate. Any commentary — or lack of reassurance — on order backlog, capacity commitments, and demand durability will be scrutinized far more than usual.</w:t>
      </w:r>
    </w:p>
    <w:p>
      <w:r>
        <w:pict>
          <v:rect style="width:0;height:1.5pt" o:hralign="center" o:hrstd="t" o:hr="t"/>
        </w:pict>
      </w:r>
    </w:p>
    <w:bookmarkEnd w:id="14"/>
    <w:bookmarkStart w:id="15" w:name="Xb7883468587df9546a54e9ded4f02bf1fd07c4c"/>
    <w:p>
      <w:pPr>
        <w:pStyle w:val="Heading2"/>
      </w:pPr>
      <w:r>
        <w:t xml:space="preserve">5. The "RemainCo" — don't ignore the base business</w:t>
      </w:r>
    </w:p>
    <w:p>
      <w:pPr>
        <w:pStyle w:val="FirstParagraph"/>
      </w:pPr>
      <w:r>
        <w:t xml:space="preserve">Post-spin Flex is an advanced-manufacturing company targeting</w:t>
      </w:r>
      <w:r>
        <w:t xml:space="preserve"> </w:t>
      </w:r>
      <w:r>
        <w:rPr>
          <w:b/>
          <w:bCs/>
        </w:rPr>
        <w:t xml:space="preserve">low-to-mid single-digit growth</w:t>
      </w:r>
      <w:r>
        <w:t xml:space="preserve"> </w:t>
      </w:r>
      <w:r>
        <w:t xml:space="preserve">with a margin-expansion + buyback playbook:</w:t>
      </w:r>
    </w:p>
    <w:p>
      <w:pPr>
        <w:pStyle w:val="Compact"/>
        <w:numPr>
          <w:ilvl w:val="0"/>
          <w:numId w:val="1009"/>
        </w:numPr>
      </w:pPr>
      <w:r>
        <w:rPr>
          <w:b/>
          <w:bCs/>
        </w:rPr>
        <w:t xml:space="preserve">RMS</w:t>
      </w:r>
      <w:r>
        <w:t xml:space="preserve"> </w:t>
      </w:r>
      <w:r>
        <w:t xml:space="preserve">(~$10.2B FY26, +5%): industrial and healthcare strong;</w:t>
      </w:r>
      <w:r>
        <w:t xml:space="preserve"> </w:t>
      </w:r>
      <w:r>
        <w:rPr>
          <w:b/>
          <w:bCs/>
        </w:rPr>
        <w:t xml:space="preserve">auto stabilizing</w:t>
      </w:r>
      <w:r>
        <w:t xml:space="preserve">. Margin 6.0% (+80bps). Healthcare, robotics, and warehouse automation are called out as reinvestment priorities.</w:t>
      </w:r>
    </w:p>
    <w:p>
      <w:pPr>
        <w:pStyle w:val="Compact"/>
        <w:numPr>
          <w:ilvl w:val="0"/>
          <w:numId w:val="1009"/>
        </w:numPr>
      </w:pPr>
      <w:r>
        <w:rPr>
          <w:b/>
          <w:bCs/>
        </w:rPr>
        <w:t xml:space="preserve">ITS</w:t>
      </w:r>
      <w:r>
        <w:t xml:space="preserve"> </w:t>
      </w:r>
      <w:r>
        <w:t xml:space="preserve">(~$11.1B FY26, -2%): comms strong (data-center-adjacent networking), offset by deliberate</w:t>
      </w:r>
      <w:r>
        <w:t xml:space="preserve"> </w:t>
      </w:r>
      <w:r>
        <w:rPr>
          <w:b/>
          <w:bCs/>
        </w:rPr>
        <w:t xml:space="preserve">de-emphasis of low-value "lifestyle"/consumer</w:t>
      </w:r>
      <w:r>
        <w:t xml:space="preserve"> </w:t>
      </w:r>
      <w:r>
        <w:t xml:space="preserve">business. Margin 5.4% (+60bps).</w:t>
      </w:r>
    </w:p>
    <w:p>
      <w:pPr>
        <w:pStyle w:val="Compact"/>
        <w:numPr>
          <w:ilvl w:val="0"/>
          <w:numId w:val="1009"/>
        </w:numPr>
      </w:pPr>
      <w:r>
        <w:t xml:space="preserve">Question for the call: how quickly RemainCo margins move toward mid-6%+, and how much more low-value revenue gets pruned.</w:t>
      </w:r>
    </w:p>
    <w:p>
      <w:r>
        <w:pict>
          <v:rect style="width:0;height:1.5pt" o:hralign="center" o:hrstd="t" o:hr="t"/>
        </w:pict>
      </w:r>
    </w:p>
    <w:bookmarkEnd w:id="15"/>
    <w:bookmarkStart w:id="16" w:name="Xd8af7bccf71dc0566de71b2b6c6c90cc6e48908"/>
    <w:p>
      <w:pPr>
        <w:pStyle w:val="Heading2"/>
      </w:pPr>
      <w:r>
        <w:t xml:space="preserve">6. Balance sheet &amp; capital return</w:t>
      </w:r>
    </w:p>
    <w:p>
      <w:pPr>
        <w:pStyle w:val="Compact"/>
        <w:numPr>
          <w:ilvl w:val="0"/>
          <w:numId w:val="1010"/>
        </w:numPr>
      </w:pPr>
      <w:r>
        <w:t xml:space="preserve">FY26:</w:t>
      </w:r>
      <w:r>
        <w:t xml:space="preserve"> </w:t>
      </w:r>
      <m:oMath>
        <m:r>
          <m:t>1.06</m:t>
        </m:r>
        <m:r>
          <m:t>B</m:t>
        </m:r>
        <m:r>
          <m:t>f</m:t>
        </m:r>
        <m:r>
          <m:t>r</m:t>
        </m:r>
        <m:r>
          <m:t>e</m:t>
        </m:r>
        <m:r>
          <m:t>e</m:t>
        </m:r>
        <m:r>
          <m:t>c</m:t>
        </m:r>
        <m:r>
          <m:t>a</m:t>
        </m:r>
        <m:r>
          <m:t>s</m:t>
        </m:r>
        <m:r>
          <m:t>h</m:t>
        </m:r>
        <m:r>
          <m:t>f</m:t>
        </m:r>
        <m:r>
          <m:t>l</m:t>
        </m:r>
        <m:r>
          <m:t>o</m:t>
        </m:r>
        <m:r>
          <m:t>w</m:t>
        </m:r>
        <m:r>
          <m:rPr>
            <m:sty m:val="p"/>
          </m:rPr>
          <m:t>*</m:t>
        </m:r>
        <m:r>
          <m:rPr>
            <m:sty m:val="p"/>
          </m:rPr>
          <m:t>*</m:t>
        </m:r>
        <m:r>
          <m:rPr>
            <m:sty m:val="p"/>
          </m:rPr>
          <m:t>,</m:t>
        </m:r>
        <m:r>
          <m:rPr>
            <m:sty m:val="p"/>
          </m:rPr>
          <m:t>*</m:t>
        </m:r>
        <m:r>
          <m:rPr>
            <m:sty m:val="p"/>
          </m:rPr>
          <m:t>*</m:t>
        </m:r>
      </m:oMath>
      <w:r>
        <w:rPr>
          <w:b/>
          <w:bCs/>
        </w:rPr>
        <w:t xml:space="preserve">944M of buybacks (~19M shares)</w:t>
      </w:r>
      <w:r>
        <w:t xml:space="preserve">; share count down to ~374-378M.</w:t>
      </w:r>
    </w:p>
    <w:p>
      <w:pPr>
        <w:pStyle w:val="Compact"/>
        <w:numPr>
          <w:ilvl w:val="0"/>
          <w:numId w:val="1010"/>
        </w:numPr>
      </w:pPr>
      <w:r>
        <w:t xml:space="preserve">Balance sheet:</w:t>
      </w:r>
      <w:r>
        <w:t xml:space="preserve"> </w:t>
      </w:r>
      <m:oMath>
        <m:r>
          <m:t>2.4</m:t>
        </m:r>
        <m:r>
          <m:t>B</m:t>
        </m:r>
        <m:r>
          <m:t>c</m:t>
        </m:r>
        <m:r>
          <m:t>a</m:t>
        </m:r>
        <m:r>
          <m:t>s</m:t>
        </m:r>
        <m:r>
          <m:t>h</m:t>
        </m:r>
        <m:r>
          <m:t>v</m:t>
        </m:r>
        <m:r>
          <m:t>s</m:t>
        </m:r>
        <m:r>
          <m:rPr>
            <m:sty m:val="p"/>
          </m:rPr>
          <m:t>.</m:t>
        </m:r>
        <m:r>
          <m:t> </m:t>
        </m:r>
      </m:oMath>
      <w:r>
        <w:rPr>
          <w:b/>
          <w:bCs/>
        </w:rPr>
        <w:t xml:space="preserve">3.75B long-term debt</w:t>
      </w:r>
      <w:r>
        <w:t xml:space="preserve"> </w:t>
      </w:r>
      <w:r>
        <w:t xml:space="preserve">(net debt manageable); inventory up 15% YoY supporting CPI/RMS ramp — worth watching for build-vs-demand risk.</w:t>
      </w:r>
    </w:p>
    <w:p>
      <w:pPr>
        <w:pStyle w:val="Compact"/>
        <w:numPr>
          <w:ilvl w:val="0"/>
          <w:numId w:val="1010"/>
        </w:numPr>
      </w:pPr>
      <w:r>
        <w:t xml:space="preserve">With CapEx surging in FY27, the pace of</w:t>
      </w:r>
      <w:r>
        <w:t xml:space="preserve"> </w:t>
      </w:r>
      <w:r>
        <w:rPr>
          <w:b/>
          <w:bCs/>
        </w:rPr>
        <w:t xml:space="preserve">buybacks may moderate</w:t>
      </w:r>
      <w:r>
        <w:t xml:space="preserve"> </w:t>
      </w:r>
      <w:r>
        <w:t xml:space="preserve">— watch whether management reiterates its repurchase cadence.</w:t>
      </w:r>
    </w:p>
    <w:p>
      <w:r>
        <w:pict>
          <v:rect style="width:0;height:1.5pt" o:hralign="center" o:hrstd="t" o:hr="t"/>
        </w:pict>
      </w:r>
    </w:p>
    <w:bookmarkEnd w:id="16"/>
    <w:bookmarkStart w:id="17" w:name="Xea3795c0a52d8847d929cc3b6d22730def9de6b"/>
    <w:p>
      <w:pPr>
        <w:pStyle w:val="Heading2"/>
      </w:pPr>
      <w:r>
        <w:t xml:space="preserve">7. Model reference points (FY26 actuals)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Q4 FY26</w:t>
            </w:r>
          </w:p>
        </w:tc>
        <w:tc>
          <w:tcPr/>
          <w:p>
            <w:pPr>
              <w:pStyle w:val="Compact"/>
            </w:pPr>
            <w:r>
              <w:t xml:space="preserve">FY26</w:t>
            </w:r>
          </w:p>
        </w:tc>
      </w:tr>
      <w:tr>
        <w:tc>
          <w:tcPr/>
          <w:p>
            <w:pPr>
              <w:pStyle w:val="Compact"/>
            </w:pPr>
            <w:r>
              <w:t xml:space="preserve">Revenue</w:t>
            </w:r>
          </w:p>
        </w:tc>
        <w:tc>
          <w:tcPr/>
          <w:p>
            <w:pPr>
              <w:pStyle w:val="Compact"/>
            </w:pPr>
            <w:r>
              <w:t xml:space="preserve">$7.48B (+17%)</w:t>
            </w:r>
          </w:p>
        </w:tc>
        <w:tc>
          <w:tcPr/>
          <w:p>
            <w:pPr>
              <w:pStyle w:val="Compact"/>
            </w:pPr>
            <w:r>
              <w:t xml:space="preserve">$27.9B (+8%)</w:t>
            </w:r>
          </w:p>
        </w:tc>
      </w:tr>
      <w:tr>
        <w:tc>
          <w:tcPr/>
          <w:p>
            <w:pPr>
              <w:pStyle w:val="Compact"/>
            </w:pPr>
            <w:r>
              <w:t xml:space="preserve">Adj. gross margin</w:t>
            </w:r>
          </w:p>
        </w:tc>
        <w:tc>
          <w:tcPr/>
          <w:p>
            <w:pPr>
              <w:pStyle w:val="Compact"/>
            </w:pPr>
            <w:r>
              <w:t xml:space="preserve">9.9% (record)</w:t>
            </w:r>
          </w:p>
        </w:tc>
        <w:tc>
          <w:tcPr/>
          <w:p>
            <w:pPr>
              <w:pStyle w:val="Compact"/>
            </w:pPr>
            <w:r>
              <w:t xml:space="preserve">9.5%</w:t>
            </w:r>
          </w:p>
        </w:tc>
      </w:tr>
      <w:tr>
        <w:tc>
          <w:tcPr/>
          <w:p>
            <w:pPr>
              <w:pStyle w:val="Compact"/>
            </w:pPr>
            <w:r>
              <w:t xml:space="preserve">Adj. operating margin</w:t>
            </w:r>
          </w:p>
        </w:tc>
        <w:tc>
          <w:tcPr/>
          <w:p>
            <w:pPr>
              <w:pStyle w:val="Compact"/>
            </w:pPr>
            <w:r>
              <w:t xml:space="preserve">6.7% (record)</w:t>
            </w:r>
          </w:p>
        </w:tc>
        <w:tc>
          <w:tcPr/>
          <w:p>
            <w:pPr>
              <w:pStyle w:val="Compact"/>
            </w:pPr>
            <w:r>
              <w:t xml:space="preserve">6.3% (record)</w:t>
            </w:r>
          </w:p>
        </w:tc>
      </w:tr>
      <w:tr>
        <w:tc>
          <w:tcPr/>
          <w:p>
            <w:pPr>
              <w:pStyle w:val="Compact"/>
            </w:pPr>
            <w:r>
              <w:t xml:space="preserve">Adj. EPS</w:t>
            </w:r>
          </w:p>
        </w:tc>
        <w:tc>
          <w:tcPr/>
          <w:p>
            <w:pPr>
              <w:pStyle w:val="Compact"/>
            </w:pPr>
            <w:r>
              <w:t xml:space="preserve">$0.93 (+27%)</w:t>
            </w:r>
          </w:p>
        </w:tc>
        <w:tc>
          <w:tcPr/>
          <w:p>
            <w:pPr>
              <w:pStyle w:val="Compact"/>
            </w:pPr>
            <w:r>
              <w:t xml:space="preserve">$3.30 (+25%)</w:t>
            </w:r>
          </w:p>
        </w:tc>
      </w:tr>
      <w:tr>
        <w:tc>
          <w:tcPr/>
          <w:p>
            <w:pPr>
              <w:pStyle w:val="Compact"/>
            </w:pPr>
            <w:r>
              <w:t xml:space="preserve">Free cash flow</w:t>
            </w:r>
          </w:p>
        </w:tc>
        <w:tc>
          <w:tcPr/>
          <w:p>
            <w:pPr>
              <w:pStyle w:val="Compact"/>
            </w:pPr>
            <w:r>
              <w:t xml:space="preserve">$212M</w:t>
            </w:r>
          </w:p>
        </w:tc>
        <w:tc>
          <w:tcPr/>
          <w:p>
            <w:pPr>
              <w:pStyle w:val="Compact"/>
            </w:pPr>
            <w:r>
              <w:t xml:space="preserve">$1.06B</w:t>
            </w:r>
          </w:p>
        </w:tc>
      </w:tr>
    </w:tbl>
    <w:p>
      <w:pPr>
        <w:pStyle w:val="BodyText"/>
      </w:pPr>
      <w:r>
        <w:t xml:space="preserve">FY26 marked the</w:t>
      </w:r>
      <w:r>
        <w:t xml:space="preserve"> </w:t>
      </w:r>
      <w:r>
        <w:rPr>
          <w:b/>
          <w:bCs/>
        </w:rPr>
        <w:t xml:space="preserve">sixth straight quarter of ≥6% adjusted operating margin</w:t>
      </w:r>
      <w:r>
        <w:t xml:space="preserve"> </w:t>
      </w:r>
      <w:r>
        <w:t xml:space="preserve">— the margin-discipline narrative is intact; the question is whether the CPI ramp/CapEx cycle temporarily muddies it.</w:t>
      </w:r>
    </w:p>
    <w:p>
      <w:r>
        <w:pict>
          <v:rect style="width:0;height:1.5pt" o:hralign="center" o:hrstd="t" o:hr="t"/>
        </w:pict>
      </w:r>
    </w:p>
    <w:bookmarkEnd w:id="17"/>
    <w:bookmarkStart w:id="18" w:name="what-id-watch-in-priority-order"/>
    <w:p>
      <w:pPr>
        <w:pStyle w:val="Heading2"/>
      </w:pPr>
      <w:r>
        <w:t xml:space="preserve">What I'd watch, in priority order</w:t>
      </w:r>
    </w:p>
    <w:p>
      <w:pPr>
        <w:pStyle w:val="Compact"/>
        <w:numPr>
          <w:ilvl w:val="0"/>
          <w:numId w:val="1011"/>
        </w:numPr>
      </w:pPr>
      <w:r>
        <w:rPr>
          <w:b/>
          <w:bCs/>
        </w:rPr>
        <w:t xml:space="preserve">FY27 full-year guide revision</w:t>
      </w:r>
      <w:r>
        <w:t xml:space="preserve"> </w:t>
      </w:r>
      <w:r>
        <w:t xml:space="preserve">(esp. CPI %) — raise vs. reaffirm is the single biggest swing factor given the high bar and CLS's raise.</w:t>
      </w:r>
    </w:p>
    <w:p>
      <w:pPr>
        <w:pStyle w:val="Compact"/>
        <w:numPr>
          <w:ilvl w:val="0"/>
          <w:numId w:val="1011"/>
        </w:numPr>
      </w:pPr>
      <w:r>
        <w:rPr>
          <w:b/>
          <w:bCs/>
        </w:rPr>
        <w:t xml:space="preserve">Spin-off progress</w:t>
      </w:r>
      <w:r>
        <w:t xml:space="preserve"> </w:t>
      </w:r>
      <w:r>
        <w:t xml:space="preserve">— timeline, Form 10, standalone financials, dis-synergies.</w:t>
      </w:r>
    </w:p>
    <w:p>
      <w:pPr>
        <w:pStyle w:val="Compact"/>
        <w:numPr>
          <w:ilvl w:val="0"/>
          <w:numId w:val="1011"/>
        </w:numPr>
      </w:pPr>
      <w:r>
        <w:rPr>
          <w:b/>
          <w:bCs/>
        </w:rPr>
        <w:t xml:space="preserve">CPI demand durability commentary</w:t>
      </w:r>
      <w:r>
        <w:t xml:space="preserve"> </w:t>
      </w:r>
      <w:r>
        <w:t xml:space="preserve">— backlog/capacity commitments amid the AI-capex scare.</w:t>
      </w:r>
    </w:p>
    <w:p>
      <w:pPr>
        <w:pStyle w:val="Compact"/>
        <w:numPr>
          <w:ilvl w:val="0"/>
          <w:numId w:val="1011"/>
        </w:numPr>
      </w:pPr>
      <w:r>
        <w:rPr>
          <w:b/>
          <w:bCs/>
        </w:rPr>
        <w:t xml:space="preserve">CapEx / FCF conversion</w:t>
      </w:r>
      <w:r>
        <w:t xml:space="preserve"> </w:t>
      </w:r>
      <w:r>
        <w:t xml:space="preserve">— confirmation the $1.4–1.6B is truly one-time and normalizes in FY28.</w:t>
      </w:r>
    </w:p>
    <w:p>
      <w:pPr>
        <w:pStyle w:val="Compact"/>
        <w:numPr>
          <w:ilvl w:val="0"/>
          <w:numId w:val="1011"/>
        </w:numPr>
      </w:pPr>
      <w:r>
        <w:rPr>
          <w:b/>
          <w:bCs/>
        </w:rPr>
        <w:t xml:space="preserve">Margin cadence</w:t>
      </w:r>
      <w:r>
        <w:t xml:space="preserve"> </w:t>
      </w:r>
      <w:r>
        <w:t xml:space="preserve">— recoup of the ~100bps CPI drag; RemainCo margin trajectory.</w:t>
      </w:r>
    </w:p>
    <w:p>
      <w:pPr>
        <w:pStyle w:val="Compact"/>
        <w:numPr>
          <w:ilvl w:val="0"/>
          <w:numId w:val="1011"/>
        </w:numPr>
      </w:pPr>
      <w:r>
        <w:rPr>
          <w:b/>
          <w:bCs/>
        </w:rPr>
        <w:t xml:space="preserve">Auto/industrial and consumer trends</w:t>
      </w:r>
      <w:r>
        <w:t xml:space="preserve"> </w:t>
      </w:r>
      <w:r>
        <w:t xml:space="preserve">in RMS/ITS, plus tariff/trade and Ukraine (Mukachevo) operational notes.</w:t>
      </w:r>
    </w:p>
    <w:bookmarkEnd w:id="18"/>
    <w:bookmarkStart w:id="19" w:name="bottom-line"/>
    <w:p>
      <w:pPr>
        <w:pStyle w:val="Heading2"/>
      </w:pPr>
      <w:r>
        <w:t xml:space="preserve">Bottom line</w:t>
      </w:r>
    </w:p>
    <w:p>
      <w:pPr>
        <w:pStyle w:val="FirstParagraph"/>
      </w:pPr>
      <w:r>
        <w:t xml:space="preserve">FLEX has a genuinely strong, accelerating story (CPI +38% in FY26, a Google-anchored multi-year backlog, a value-unlocking spin, record margins). But after a ~30% drawdown from June highs and with the AI-hardware trade in a fear phase,</w:t>
      </w:r>
      <w:r>
        <w:t xml:space="preserve"> </w:t>
      </w:r>
      <w:r>
        <w:rPr>
          <w:b/>
          <w:bCs/>
        </w:rPr>
        <w:t xml:space="preserve">expectations are still elevated and the print will be judged against a "beat-and-raise" standard</w:t>
      </w:r>
      <w:r>
        <w:t xml:space="preserve">, not just the guidance midpoint. The reaction likely hinges less on Q1 EPS (guide $0.86–0.92) and more on (a) whether the full-year/CPI outlook goes up, and (b) how much fresh, credible detail management gives on the spin. Given peer signals, an in-line quarter with an unchanged guide carries real downside risk; a raise plus spin clarity is what the bulls need.</w:t>
      </w:r>
    </w:p>
    <w:p>
      <w:pPr>
        <w:pStyle w:val="BodyText"/>
      </w:pPr>
      <w:r>
        <w:rPr>
          <w:i/>
          <w:iCs/>
        </w:rPr>
        <w:t xml:space="preserve">Note: figures above are drawn from FLEX's FY26 Q4 earnings release and call (May 5–6, 2026) and market data through July 28, 2026. Consensus estimates for the quarter were not independently available in my sources; I've benchmarked against management's own guidance. This is research/analysis, not investment advice.</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2026-07-29T00:44:46Z</dcterms:created>
  <dcterms:modified xsi:type="dcterms:W3CDTF">2026-07-29T00:44:46Z</dcterms:modified>
</cp:coreProperties>
</file>

<file path=docProps/custom.xml><?xml version="1.0" encoding="utf-8"?>
<Properties xmlns="http://schemas.openxmlformats.org/officeDocument/2006/custom-properties" xmlns:vt="http://schemas.openxmlformats.org/officeDocument/2006/docPropsVTypes"/>
</file>