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32b41b86796b50858a2424fc259b770cc16a40c"/>
    <w:p>
      <w:pPr>
        <w:pStyle w:val="Heading1"/>
      </w:pPr>
      <w:r>
        <w:t xml:space="preserve">Flex Ltd. (FLEX) — FY2027 Q1 Earnings Preview</w:t>
      </w:r>
    </w:p>
    <w:p>
      <w:pPr>
        <w:pStyle w:val="FirstParagraph"/>
      </w:pPr>
      <w:r>
        <w:rPr>
          <w:b/>
          <w:bCs/>
        </w:rPr>
        <w:t xml:space="preserve">Reports:</w:t>
      </w:r>
      <w:r>
        <w:t xml:space="preserve"> </w:t>
      </w:r>
      <w:r>
        <w:t xml:space="preserve">Wednesday, July 29, 2026, after market close</w:t>
      </w:r>
      <w:r>
        <w:t xml:space="preserve"> </w:t>
      </w:r>
      <w:r>
        <w:rPr>
          <w:b/>
          <w:bCs/>
        </w:rPr>
        <w:t xml:space="preserve">Fiscal Period:</w:t>
      </w:r>
      <w:r>
        <w:t xml:space="preserve"> </w:t>
      </w:r>
      <w:r>
        <w:t xml:space="preserve">Q1 FY2027 (quarter ended June 30, 2026)</w:t>
      </w:r>
    </w:p>
    <w:p>
      <w:r>
        <w:pict>
          <v:rect style="width:0;height:1.5pt" o:hralign="center" o:hrstd="t" o:hr="t"/>
        </w:pict>
      </w:r>
    </w:p>
    <w:bookmarkStart w:id="9" w:name="setup-a-high-bar-into-the-print"/>
    <w:p>
      <w:pPr>
        <w:pStyle w:val="Heading2"/>
      </w:pPr>
      <w:r>
        <w:t xml:space="preserve">Setup: A High Bar Into the Print</w:t>
      </w:r>
    </w:p>
    <w:p>
      <w:pPr>
        <w:pStyle w:val="FirstParagraph"/>
      </w:pPr>
      <w:r>
        <w:t xml:space="preserve">Sentiment heading into this quarter is notably bullish. As one market summary put it, sentiment is very bullish around the company thanks to huge growth in the Cloud &amp; Power Infrastructure business, but the bar for earnings is very high, with investors widely anticipating upside on both the quarter and forward guidance. That combination — high expectations plus a stock that has been extremely volatile — makes this one of the more consequential prints of the summer for Flex holders.</w:t>
      </w:r>
    </w:p>
    <w:p>
      <w:pPr>
        <w:pStyle w:val="BodyText"/>
      </w:pPr>
      <w:r>
        <w:t xml:space="preserve">The stock's round-trip tells the story: FLEX jumped from roughly $92 to over $130 the day the CPI spin-off was announced (May 5-6), kept climbing to an all-time high near $162 in late June, and then fell back to roughly $113 by July 28 — a ~30% drawdown from the peak. That pullback largely tracks a broader "AI trade" wobble rather than anything company-specific: chip and AI-infrastructure names sold off hard in late July on valuation concerns and "circular financing" worries after large Nvidia/OpenAI-related deals, with memory stocks like SK Hynix cited as having plunged more than 10% on Tuesday as South Korean semiconductor shares tumbled, extending a rout in chipmakers. Peer EMS names JBL and CLS saw similar swings over the same window.</w:t>
      </w:r>
    </w:p>
    <w:p>
      <w:pPr>
        <w:pStyle w:val="BodyText"/>
      </w:pPr>
      <w:r>
        <w:t xml:space="preserve">A key read-through comp reported just one day before Flex: Celestica posted a blowout quarter, with Q2 earnings per share of $2.54, beating the Street consensus of $2.30, driven by sales of $4.7B (up 62% versus Street expectations of $4.4B) and operating margins of 8.2% versus 8% expected, and it raised its full-year guidance to $11.30 EPS and $20.5B in sales, up from prior guidance of $10.15 and $19B respectively. That sets a high bar and confirms hyperscaler/AI-infrastructure demand remains robust — but it also raises the stakes for Flex to show similar momentum in its own Cloud and Power Infrastructure (CPI) business. Jabil, meanwhile, signaled confidence with a new buyback tied explicitly to AI infrastructure strength, while Amkor's stock fell 23% purely on a soft guide despite a solid beat — a reminder that in this environment, the guidance print matters as much as the quarter itself.</w:t>
      </w:r>
    </w:p>
    <w:p>
      <w:r>
        <w:pict>
          <v:rect style="width:0;height:1.5pt" o:hralign="center" o:hrstd="t" o:hr="t"/>
        </w:pict>
      </w:r>
    </w:p>
    <w:bookmarkEnd w:id="9"/>
    <w:bookmarkStart w:id="10" w:name="what-changed-last-quarter-the-spin-off"/>
    <w:p>
      <w:pPr>
        <w:pStyle w:val="Heading2"/>
      </w:pPr>
      <w:r>
        <w:t xml:space="preserve">What Changed Last Quarter: The Spin-Off</w:t>
      </w:r>
    </w:p>
    <w:p>
      <w:pPr>
        <w:pStyle w:val="FirstParagraph"/>
      </w:pPr>
      <w:r>
        <w:t xml:space="preserve">The single biggest event shaping this report is the May 5 announcement that Flex will</w:t>
      </w:r>
      <w:r>
        <w:t xml:space="preserve"> </w:t>
      </w:r>
      <w:r>
        <w:rPr>
          <w:b/>
          <w:bCs/>
        </w:rPr>
        <w:t xml:space="preserve">spin off its Cloud and Power Infrastructure (CPI) segment into a standalone public company ("SpinCo")</w:t>
      </w:r>
      <w:r>
        <w:t xml:space="preserve">, targeted to complete in Q1 calendar 2027. Management framed this as the culmination of a multi-year transformation: seven years ago, we set out to transform Flex... Since then, we have exited consumer-focused markets, spun off Nextracker into a leading solar business... and invested ahead of the curve in electrical products, recognizing early that compute would become power hungry.</w:t>
      </w:r>
    </w:p>
    <w:p>
      <w:pPr>
        <w:pStyle w:val="BodyText"/>
      </w:pPr>
      <w:r>
        <w:t xml:space="preserve">Key structural details investors should keep top of mind:</w:t>
      </w:r>
    </w:p>
    <w:p>
      <w:pPr>
        <w:pStyle w:val="Compact"/>
        <w:numPr>
          <w:ilvl w:val="0"/>
          <w:numId w:val="1001"/>
        </w:numPr>
      </w:pPr>
      <w:r>
        <w:rPr>
          <w:b/>
          <w:bCs/>
        </w:rPr>
        <w:t xml:space="preserve">New segmentation</w:t>
      </w:r>
      <w:r>
        <w:t xml:space="preserve"> </w:t>
      </w:r>
      <w:r>
        <w:t xml:space="preserve">starting this quarter:</w:t>
      </w:r>
      <w:r>
        <w:t xml:space="preserve"> </w:t>
      </w:r>
      <w:r>
        <w:rPr>
          <w:b/>
          <w:bCs/>
        </w:rPr>
        <w:t xml:space="preserve">RMS</w:t>
      </w:r>
      <w:r>
        <w:t xml:space="preserve"> </w:t>
      </w:r>
      <w:r>
        <w:t xml:space="preserve">(Regulated Manufacturing Solutions — industrial, automotive, healthcare, plus critical/embedded power now moved out),</w:t>
      </w:r>
      <w:r>
        <w:t xml:space="preserve"> </w:t>
      </w:r>
      <w:r>
        <w:rPr>
          <w:b/>
          <w:bCs/>
        </w:rPr>
        <w:t xml:space="preserve">ITS</w:t>
      </w:r>
      <w:r>
        <w:t xml:space="preserve"> </w:t>
      </w:r>
      <w:r>
        <w:t xml:space="preserve">(Integrated Technology Solutions — communications and lifestyle), and</w:t>
      </w:r>
      <w:r>
        <w:t xml:space="preserve"> </w:t>
      </w:r>
      <w:r>
        <w:rPr>
          <w:b/>
          <w:bCs/>
        </w:rPr>
        <w:t xml:space="preserve">CPI</w:t>
      </w:r>
      <w:r>
        <w:t xml:space="preserve"> </w:t>
      </w:r>
      <w:r>
        <w:t xml:space="preserve">(Cloud and Power Infrastructure — the future SpinCo). RMS will house our industrial, automotive and health care business units... ITS consists of our communications and lifestyle business units... Finally, we have consolidated our data center power and cloud businesses, once housed within industrial and CEC, into a new segment, Cloud and Power Infrastructure or CPI. Watch closely how comparable segment growth trends now that the reporting lines have shifted.</w:t>
      </w:r>
    </w:p>
    <w:p>
      <w:pPr>
        <w:pStyle w:val="Compact"/>
        <w:numPr>
          <w:ilvl w:val="0"/>
          <w:numId w:val="1001"/>
        </w:numPr>
      </w:pPr>
      <w:r>
        <w:rPr>
          <w:b/>
          <w:bCs/>
        </w:rPr>
        <w:t xml:space="preserve">Leadership transition</w:t>
      </w:r>
      <w:r>
        <w:t xml:space="preserve">: Revathi Advaithi will become CEO of SpinCo, while Michael Hartung (current Chief Commercial Officer, a 2007 Solectron-acquisition veteran) becomes CEO of remaining Flex. I'm excited to share that I will serve as CEO of SpinCo... I'm pleased to leave it in Michael Hartung's very capable hands as CEO.</w:t>
      </w:r>
    </w:p>
    <w:p>
      <w:pPr>
        <w:pStyle w:val="Compact"/>
        <w:numPr>
          <w:ilvl w:val="0"/>
          <w:numId w:val="1001"/>
        </w:numPr>
      </w:pPr>
      <w:r>
        <w:rPr>
          <w:b/>
          <w:bCs/>
        </w:rPr>
        <w:t xml:space="preserve">Investor Day postponed</w:t>
      </w:r>
      <w:r>
        <w:t xml:space="preserve">: The originally planned Investor Day was pushed to the fall pending more clarity on the separation. In light of yesterday's announcement, we are postponing the event until the fall when we expect to have more information to share — expect an update on timing during this call.</w:t>
      </w:r>
    </w:p>
    <w:p>
      <w:pPr>
        <w:pStyle w:val="Compact"/>
        <w:numPr>
          <w:ilvl w:val="0"/>
          <w:numId w:val="1001"/>
        </w:numPr>
      </w:pPr>
      <w:r>
        <w:t xml:space="preserve">Growth targets tied to the spin are aggressive: SpinCo (CPI) is guided to</w:t>
      </w:r>
      <w:r>
        <w:t xml:space="preserve"> </w:t>
      </w:r>
      <w:r>
        <w:rPr>
          <w:b/>
          <w:bCs/>
        </w:rPr>
        <w:t xml:space="preserve">65–75% revenue growth in FY27</w:t>
      </w:r>
      <w:r>
        <w:t xml:space="preserve"> </w:t>
      </w:r>
      <w:r>
        <w:t xml:space="preserve">and</w:t>
      </w:r>
      <w:r>
        <w:t xml:space="preserve"> </w:t>
      </w:r>
      <w:r>
        <w:rPr>
          <w:b/>
          <w:bCs/>
        </w:rPr>
        <w:t xml:space="preserve">80%+ in FY28</w:t>
      </w:r>
      <w:r>
        <w:t xml:space="preserve">, while RemainCo Flex is guided to</w:t>
      </w:r>
      <w:r>
        <w:t xml:space="preserve"> </w:t>
      </w:r>
      <w:r>
        <w:rPr>
          <w:b/>
          <w:bCs/>
        </w:rPr>
        <w:t xml:space="preserve">low-to-mid-single-digit growth</w:t>
      </w:r>
      <w:r>
        <w:t xml:space="preserve">. For SpinCo, we're targeting revenue growth of 65% to 75% in fiscal year 2027... And for FY '28, we expect further acceleration with growth of over 80%... Flex, post spin, is targeting low to mid-single-digit revenue growth.</w:t>
      </w:r>
    </w:p>
    <w:p>
      <w:pPr>
        <w:pStyle w:val="FirstParagraph"/>
      </w:pPr>
      <w:r>
        <w:t xml:space="preserve">Investors should listen for any incremental color on stand-alone financials, capital structure, and separation costs, since management said only that we plan to provide additional details over the upcoming quarters, including stand-alone financials at the appropriate time.</w:t>
      </w:r>
    </w:p>
    <w:p>
      <w:r>
        <w:pict>
          <v:rect style="width:0;height:1.5pt" o:hralign="center" o:hrstd="t" o:hr="t"/>
        </w:pict>
      </w:r>
    </w:p>
    <w:bookmarkEnd w:id="10"/>
    <w:bookmarkStart w:id="11" w:name="fy2026-recap-q4-results-reported-may-5"/>
    <w:p>
      <w:pPr>
        <w:pStyle w:val="Heading2"/>
      </w:pPr>
      <w:r>
        <w:t xml:space="preserve">FY2026 Recap (Q4 Results, Reported May 5)</w:t>
      </w:r>
    </w:p>
    <w:p>
      <w:pPr>
        <w:pStyle w:val="FirstParagraph"/>
      </w:pPr>
      <w:r>
        <w:t xml:space="preserve">Flex closed FY26 with record profitability:</w:t>
      </w:r>
    </w:p>
    <w:p>
      <w:pPr>
        <w:pStyle w:val="Compact"/>
        <w:numPr>
          <w:ilvl w:val="0"/>
          <w:numId w:val="1002"/>
        </w:numPr>
      </w:pPr>
      <w:r>
        <w:t xml:space="preserve">Q4 net sales of</w:t>
      </w:r>
      <w:r>
        <w:t xml:space="preserve"> </w:t>
      </w:r>
      <m:oMath>
        <m:r>
          <m:t>7.5</m:t>
        </m:r>
        <m:r>
          <m:t>b</m:t>
        </m:r>
        <m:r>
          <m:t>i</m:t>
        </m:r>
        <m:r>
          <m:t>l</m:t>
        </m:r>
        <m:r>
          <m:t>l</m:t>
        </m:r>
        <m:r>
          <m:t>i</m:t>
        </m:r>
        <m:r>
          <m:t>o</m:t>
        </m:r>
        <m:r>
          <m:t>n</m:t>
        </m:r>
        <m:r>
          <m:rPr>
            <m:sty m:val="p"/>
          </m:rPr>
          <m:t>*</m:t>
        </m:r>
        <m:r>
          <m:rPr>
            <m:sty m:val="p"/>
          </m:rPr>
          <m:t>*</m:t>
        </m:r>
        <m:r>
          <m:rPr>
            <m:sty m:val="p"/>
          </m:rPr>
          <m:t>(</m:t>
        </m:r>
        <m:r>
          <m:rPr>
            <m:sty m:val="p"/>
          </m:rPr>
          <m:t>+</m:t>
        </m:r>
        <m:r>
          <m:t>17</m:t>
        </m:r>
      </m:oMath>
      <w:r>
        <w:rPr>
          <w:b/>
          <w:bCs/>
        </w:rPr>
        <w:t xml:space="preserve">27.9 billion</w:t>
      </w:r>
      <w:r>
        <w:t xml:space="preserve"> </w:t>
      </w:r>
      <w:r>
        <w:t xml:space="preserve">(+8% y/y). Reported Q4 net sales of $7.5 billion, and full-year net sales of $27.9 billion, up 17% and 8%, respectively, versus the prior year</w:t>
      </w:r>
    </w:p>
    <w:p>
      <w:pPr>
        <w:pStyle w:val="Compact"/>
        <w:numPr>
          <w:ilvl w:val="0"/>
          <w:numId w:val="1002"/>
        </w:numPr>
      </w:pPr>
      <w:r>
        <w:t xml:space="preserve">Q4 adjusted operating margin of 6.7%, full-year</w:t>
      </w:r>
      <w:r>
        <w:t xml:space="preserve"> </w:t>
      </w:r>
      <w:r>
        <w:rPr>
          <w:b/>
          <w:bCs/>
        </w:rPr>
        <w:t xml:space="preserve">6.3% adjusted operating margin — a company record</w:t>
      </w:r>
      <w:r>
        <w:t xml:space="preserve">, marking Q4 GAAP operating margin of 5.0%, and adjusted operating margin of 6.7%, our sixth consecutive quarter with an adjusted operating margin of 6% or greater.</w:t>
      </w:r>
    </w:p>
    <w:p>
      <w:pPr>
        <w:pStyle w:val="Compact"/>
        <w:numPr>
          <w:ilvl w:val="0"/>
          <w:numId w:val="1002"/>
        </w:numPr>
      </w:pPr>
      <w:r>
        <w:t xml:space="preserve">Full-year adjusted EPS of</w:t>
      </w:r>
      <w:r>
        <w:t xml:space="preserve"> </w:t>
      </w:r>
      <w:r>
        <w:rPr>
          <w:b/>
          <w:bCs/>
        </w:rPr>
        <w:t xml:space="preserve">$3.30</w:t>
      </w:r>
      <w:r>
        <w:t xml:space="preserve">, up 25% y/y; Q4 adjusted EPS of $0.93, up 27% y/y.</w:t>
      </w:r>
    </w:p>
    <w:p>
      <w:pPr>
        <w:pStyle w:val="Compact"/>
        <w:numPr>
          <w:ilvl w:val="0"/>
          <w:numId w:val="1002"/>
        </w:numPr>
      </w:pPr>
      <w:r>
        <w:t xml:space="preserve">CPI segment was the standout: full-year CPI revenue of</w:t>
      </w:r>
      <w:r>
        <w:t xml:space="preserve"> </w:t>
      </w:r>
      <w:r>
        <w:rPr>
          <w:b/>
          <w:bCs/>
        </w:rPr>
        <w:t xml:space="preserve">$6.6 billion, up 38%</w:t>
      </w:r>
      <w:r>
        <w:t xml:space="preserve">, exceeding the prior 35% target, though adjusted operating margin dipped 100bps y/y to 9.2% due to incremental infrastructure investments in critical power and ramp costs in cloud. Management explicitly said it expects to</w:t>
      </w:r>
      <w:r>
        <w:t xml:space="preserve"> </w:t>
      </w:r>
      <w:r>
        <w:rPr>
          <w:b/>
          <w:bCs/>
        </w:rPr>
        <w:t xml:space="preserve">recoup that full 100bps in FY27</w:t>
      </w:r>
      <w:r>
        <w:t xml:space="preserve">, with a further 50–100bps of expansion in FY28.</w:t>
      </w:r>
    </w:p>
    <w:p>
      <w:pPr>
        <w:pStyle w:val="Compact"/>
        <w:numPr>
          <w:ilvl w:val="0"/>
          <w:numId w:val="1002"/>
        </w:numPr>
      </w:pPr>
      <w:r>
        <w:t xml:space="preserve">Free cash flow was ~</w:t>
      </w:r>
      <m:oMath>
        <m:r>
          <m:t>1.06</m:t>
        </m:r>
        <m:r>
          <m:t>b</m:t>
        </m:r>
        <m:r>
          <m:t>i</m:t>
        </m:r>
        <m:r>
          <m:t>l</m:t>
        </m:r>
        <m:r>
          <m:t>l</m:t>
        </m:r>
        <m:r>
          <m:t>i</m:t>
        </m:r>
        <m:r>
          <m:t>o</m:t>
        </m:r>
        <m:r>
          <m:t>n</m:t>
        </m:r>
        <m:r>
          <m:t>f</m:t>
        </m:r>
        <m:r>
          <m:t>o</m:t>
        </m:r>
        <m:r>
          <m:t>r</m:t>
        </m:r>
        <m:r>
          <m:t>t</m:t>
        </m:r>
        <m:r>
          <m:t>h</m:t>
        </m:r>
        <m:r>
          <m:t>e</m:t>
        </m:r>
        <m:r>
          <m:t>y</m:t>
        </m:r>
        <m:r>
          <m:t>e</m:t>
        </m:r>
        <m:r>
          <m:t>a</m:t>
        </m:r>
        <m:r>
          <m:t>r</m:t>
        </m:r>
        <m:r>
          <m:rPr>
            <m:sty m:val="p"/>
          </m:rPr>
          <m:t>,</m:t>
        </m:r>
        <m:r>
          <m:t>a</m:t>
        </m:r>
        <m:r>
          <m:t>n</m:t>
        </m:r>
        <m:r>
          <m:t>d</m:t>
        </m:r>
        <m:r>
          <m:t>t</m:t>
        </m:r>
        <m:r>
          <m:t>h</m:t>
        </m:r>
        <m:r>
          <m:t>e</m:t>
        </m:r>
        <m:r>
          <m:t>c</m:t>
        </m:r>
        <m:r>
          <m:t>o</m:t>
        </m:r>
        <m:r>
          <m:t>m</m:t>
        </m:r>
        <m:r>
          <m:t>p</m:t>
        </m:r>
        <m:r>
          <m:t>a</m:t>
        </m:r>
        <m:r>
          <m:t>n</m:t>
        </m:r>
        <m:r>
          <m:t>y</m:t>
        </m:r>
        <m:r>
          <m:t>r</m:t>
        </m:r>
        <m:r>
          <m:t>e</m:t>
        </m:r>
        <m:r>
          <m:t>p</m:t>
        </m:r>
        <m:r>
          <m:t>u</m:t>
        </m:r>
        <m:r>
          <m:t>r</m:t>
        </m:r>
        <m:r>
          <m:t>c</m:t>
        </m:r>
        <m:r>
          <m:t>h</m:t>
        </m:r>
        <m:r>
          <m:t>a</m:t>
        </m:r>
        <m:r>
          <m:t>s</m:t>
        </m:r>
        <m:r>
          <m:t>e</m:t>
        </m:r>
        <m:r>
          <m:t>d</m:t>
        </m:r>
        <m:r>
          <m:rPr>
            <m:sty m:val="p"/>
          </m:rPr>
          <m:t>*</m:t>
        </m:r>
        <m:r>
          <m:rPr>
            <m:sty m:val="p"/>
          </m:rPr>
          <m:t>*</m:t>
        </m:r>
      </m:oMath>
      <w:r>
        <w:t xml:space="preserve">944 million** of stock (~19 million shares) in FY26.</w:t>
      </w:r>
    </w:p>
    <w:p>
      <w:r>
        <w:pict>
          <v:rect style="width:0;height:1.5pt" o:hralign="center" o:hrstd="t" o:hr="t"/>
        </w:pict>
      </w:r>
    </w:p>
    <w:bookmarkEnd w:id="11"/>
    <w:bookmarkStart w:id="12" w:name="Xa1c4880a7421204a49b502494c05a458def9f11"/>
    <w:p>
      <w:pPr>
        <w:pStyle w:val="Heading2"/>
      </w:pPr>
      <w:r>
        <w:t xml:space="preserve">The Guidance Investors Are Measuring This Quarter Against</w:t>
      </w:r>
    </w:p>
    <w:p>
      <w:pPr>
        <w:pStyle w:val="FirstParagraph"/>
      </w:pPr>
      <w:r>
        <w:t xml:space="preserve">Flex's own Q1 FY27 guidance, issued on the May call, is the benchmark for tomorrow's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Q1 FY27 Guidance</w:t>
            </w:r>
          </w:p>
        </w:tc>
      </w:tr>
      <w:tr>
        <w:tc>
          <w:tcPr/>
          <w:p>
            <w:pPr>
              <w:pStyle w:val="Compact"/>
            </w:pPr>
            <w:r>
              <w:t xml:space="preserve">Net sales</w:t>
            </w:r>
          </w:p>
        </w:tc>
        <w:tc>
          <w:tcPr/>
          <w:p>
            <w:pPr>
              <w:pStyle w:val="Compact"/>
            </w:pPr>
            <w:r>
              <w:t xml:space="preserve">$7.35B – $7.65B (+14% y/y at midpoint)</w:t>
            </w:r>
          </w:p>
        </w:tc>
      </w:tr>
      <w:tr>
        <w:tc>
          <w:tcPr/>
          <w:p>
            <w:pPr>
              <w:pStyle w:val="Compact"/>
            </w:pPr>
            <w:r>
              <w:t xml:space="preserve">Adjusted operating income</w:t>
            </w:r>
          </w:p>
        </w:tc>
        <w:tc>
          <w:tcPr/>
          <w:p>
            <w:pPr>
              <w:pStyle w:val="Compact"/>
            </w:pPr>
            <w:r>
              <w:t xml:space="preserve">$469M – $499M</w:t>
            </w:r>
          </w:p>
        </w:tc>
      </w:tr>
      <w:tr>
        <w:tc>
          <w:tcPr/>
          <w:p>
            <w:pPr>
              <w:pStyle w:val="Compact"/>
            </w:pPr>
            <w:r>
              <w:t xml:space="preserve">Adjusted EPS</w:t>
            </w:r>
          </w:p>
        </w:tc>
        <w:tc>
          <w:tcPr/>
          <w:p>
            <w:pPr>
              <w:pStyle w:val="Compact"/>
            </w:pPr>
            <w:r>
              <w:t xml:space="preserve">$0.86 – $0.92 (+24% y/y at midpoint)</w:t>
            </w:r>
          </w:p>
        </w:tc>
      </w:tr>
      <w:tr>
        <w:tc>
          <w:tcPr/>
          <w:p>
            <w:pPr>
              <w:pStyle w:val="Compact"/>
            </w:pPr>
            <w:r>
              <w:t xml:space="preserve">Interest &amp; other expense</w:t>
            </w:r>
          </w:p>
        </w:tc>
        <w:tc>
          <w:tcPr/>
          <w:p>
            <w:pPr>
              <w:pStyle w:val="Compact"/>
            </w:pPr>
            <w:r>
              <w:t xml:space="preserve">~$65M</w:t>
            </w:r>
          </w:p>
        </w:tc>
      </w:tr>
      <w:tr>
        <w:tc>
          <w:tcPr/>
          <w:p>
            <w:pPr>
              <w:pStyle w:val="Compact"/>
            </w:pPr>
            <w:r>
              <w:t xml:space="preserve">Adjusted tax rate</w:t>
            </w:r>
          </w:p>
        </w:tc>
        <w:tc>
          <w:tcPr/>
          <w:p>
            <w:pPr>
              <w:pStyle w:val="Compact"/>
            </w:pPr>
            <w:r>
              <w:t xml:space="preserve">~21%</w:t>
            </w:r>
          </w:p>
        </w:tc>
      </w:tr>
      <w:tr>
        <w:tc>
          <w:tcPr/>
          <w:p>
            <w:pPr>
              <w:pStyle w:val="Compact"/>
            </w:pPr>
            <w:r>
              <w:t xml:space="preserve">Weighted avg. diluted shares</w:t>
            </w:r>
          </w:p>
        </w:tc>
        <w:tc>
          <w:tcPr/>
          <w:p>
            <w:pPr>
              <w:pStyle w:val="Compact"/>
            </w:pPr>
            <w:r>
              <w:t xml:space="preserve">~374M</w:t>
            </w:r>
          </w:p>
        </w:tc>
      </w:tr>
    </w:tbl>
    <w:p>
      <w:pPr>
        <w:pStyle w:val="BodyText"/>
      </w:pPr>
      <w:r>
        <w:t xml:space="preserve">Net Sales: $7.35 billion to $7.65 billion, growth of 14% at the midpoint; Adjusted Operating Income: $469 million to $499 million; Adjusted EPS: $0.86 to $0.92, growth of 24% at the midpoint; Interest &amp; Other: approximately $65 million; Adjusted income tax rate: 21%; Weighted average shares outstanding: approximately 374 million</w:t>
      </w:r>
    </w:p>
    <w:p>
      <w:pPr>
        <w:pStyle w:val="BodyText"/>
      </w:pPr>
      <w:r>
        <w:t xml:space="preserve">Segment-level Q1 guides to check progress against:</w:t>
      </w:r>
    </w:p>
    <w:p>
      <w:pPr>
        <w:pStyle w:val="Compact"/>
        <w:numPr>
          <w:ilvl w:val="0"/>
          <w:numId w:val="1003"/>
        </w:numPr>
      </w:pPr>
      <w:r>
        <w:rPr>
          <w:b/>
          <w:bCs/>
        </w:rPr>
        <w:t xml:space="preserve">RMS</w:t>
      </w:r>
      <w:r>
        <w:t xml:space="preserve">: up high-single to low-double digits, driven by industrial and healthcare.</w:t>
      </w:r>
    </w:p>
    <w:p>
      <w:pPr>
        <w:pStyle w:val="Compact"/>
        <w:numPr>
          <w:ilvl w:val="0"/>
          <w:numId w:val="1003"/>
        </w:numPr>
      </w:pPr>
      <w:r>
        <w:rPr>
          <w:b/>
          <w:bCs/>
        </w:rPr>
        <w:t xml:space="preserve">ITS</w:t>
      </w:r>
      <w:r>
        <w:t xml:space="preserve">: up high-single to low-double digits, communications strength offsetting lifestyle weakness.</w:t>
      </w:r>
    </w:p>
    <w:p>
      <w:pPr>
        <w:pStyle w:val="Compact"/>
        <w:numPr>
          <w:ilvl w:val="0"/>
          <w:numId w:val="1003"/>
        </w:numPr>
      </w:pPr>
      <w:r>
        <w:rPr>
          <w:b/>
          <w:bCs/>
        </w:rPr>
        <w:t xml:space="preserve">CPI</w:t>
      </w:r>
      <w:r>
        <w:t xml:space="preserve">: up</w:t>
      </w:r>
      <w:r>
        <w:t xml:space="preserve"> </w:t>
      </w:r>
      <w:r>
        <w:rPr>
          <w:b/>
          <w:bCs/>
        </w:rPr>
        <w:t xml:space="preserve">20–30% y/y</w:t>
      </w:r>
      <w:r>
        <w:t xml:space="preserve"> </w:t>
      </w:r>
      <w:r>
        <w:t xml:space="preserve">— notably the</w:t>
      </w:r>
      <w:r>
        <w:t xml:space="preserve"> </w:t>
      </w:r>
      <w:r>
        <w:rPr>
          <w:i/>
          <w:iCs/>
        </w:rPr>
        <w:t xml:space="preserve">slowest</w:t>
      </w:r>
      <w:r>
        <w:t xml:space="preserve"> </w:t>
      </w:r>
      <w:r>
        <w:t xml:space="preserve">quarterly growth rate of the year for this segment, since management flagged that CPI growth to ramp in the second half of fiscal '27 as investments made in fiscal '26 allow us to deliver against robust demand from recent program wins. This is important: a "soft" CPI print in Q1 relative to the full-year 65-75% target would not necessarily be a red flag — it's the expected shape of the year — but investors will want confirmation that H2 acceleration is on track (backlog, capacity commissioning, customer additions).</w:t>
      </w:r>
    </w:p>
    <w:p>
      <w:pPr>
        <w:pStyle w:val="FirstParagraph"/>
      </w:pPr>
      <w:r>
        <w:t xml:space="preserve">For the</w:t>
      </w:r>
      <w:r>
        <w:t xml:space="preserve"> </w:t>
      </w:r>
      <w:r>
        <w:rPr>
          <w:b/>
          <w:bCs/>
        </w:rPr>
        <w:t xml:space="preserve">full year</w:t>
      </w:r>
      <w:r>
        <w:t xml:space="preserve">, Flex guided to revenue of</w:t>
      </w:r>
      <w:r>
        <w:t xml:space="preserve"> </w:t>
      </w:r>
      <m:oMath>
        <m:r>
          <m:t>32.3</m:t>
        </m:r>
        <m:r>
          <m:rPr>
            <m:sty m:val="p"/>
          </m:rPr>
          <m:t>–</m:t>
        </m:r>
      </m:oMath>
      <w:r>
        <w:rPr>
          <w:b/>
          <w:bCs/>
        </w:rPr>
        <w:t xml:space="preserve">33.8 billion</w:t>
      </w:r>
      <w:r>
        <w:t xml:space="preserve"> </w:t>
      </w:r>
      <w:r>
        <w:t xml:space="preserve">(+18% at midpoint), adjusted operating margin of</w:t>
      </w:r>
      <w:r>
        <w:t xml:space="preserve"> </w:t>
      </w:r>
      <w:r>
        <w:rPr>
          <w:b/>
          <w:bCs/>
        </w:rPr>
        <w:t xml:space="preserve">7.0–7.1%</w:t>
      </w:r>
      <w:r>
        <w:t xml:space="preserve"> </w:t>
      </w:r>
      <w:r>
        <w:t xml:space="preserve">(+~80bps y/y), adjusted EPS of</w:t>
      </w:r>
      <w:r>
        <w:t xml:space="preserve"> </w:t>
      </w:r>
      <m:oMath>
        <m:r>
          <m:t>4.21</m:t>
        </m:r>
        <m:r>
          <m:rPr>
            <m:sty m:val="p"/>
          </m:rPr>
          <m:t>–</m:t>
        </m:r>
      </m:oMath>
      <w:r>
        <w:rPr>
          <w:b/>
          <w:bCs/>
        </w:rPr>
        <w:t xml:space="preserve">4.51</w:t>
      </w:r>
      <w:r>
        <w:t xml:space="preserve"> </w:t>
      </w:r>
      <w:r>
        <w:t xml:space="preserve">(+32% at midpoint), and CapEx of</w:t>
      </w:r>
      <w:r>
        <w:t xml:space="preserve"> </w:t>
      </w:r>
      <m:oMath>
        <m:r>
          <m:t>1.4</m:t>
        </m:r>
        <m:r>
          <m:rPr>
            <m:sty m:val="p"/>
          </m:rPr>
          <m:t>–</m:t>
        </m:r>
      </m:oMath>
      <w:r>
        <w:rPr>
          <w:b/>
          <w:bCs/>
        </w:rPr>
        <w:t xml:space="preserve">1.6 billion</w:t>
      </w:r>
      <w:r>
        <w:t xml:space="preserve"> </w:t>
      </w:r>
      <w:r>
        <w:t xml:space="preserve">— a big step-up from FY26's $625 million, reflecting capital deployment for these projects is already underway, and it will remain elevated through FY '27... We expect this level of investment to be unique to fiscal year '27, with CapEx expected to normalize by FY28.</w:t>
      </w:r>
    </w:p>
    <w:p>
      <w:r>
        <w:pict>
          <v:rect style="width:0;height:1.5pt" o:hralign="center" o:hrstd="t" o:hr="t"/>
        </w:pict>
      </w:r>
    </w:p>
    <w:bookmarkEnd w:id="12"/>
    <w:bookmarkStart w:id="13" w:name="key-themes-to-watch-on-the-call"/>
    <w:p>
      <w:pPr>
        <w:pStyle w:val="Heading2"/>
      </w:pPr>
      <w:r>
        <w:t xml:space="preserve">Key Themes to Watch on the Call</w:t>
      </w:r>
    </w:p>
    <w:p>
      <w:pPr>
        <w:pStyle w:val="FirstParagraph"/>
      </w:pPr>
      <w:r>
        <w:rPr>
          <w:b/>
          <w:bCs/>
        </w:rPr>
        <w:t xml:space="preserve">1. CPI momentum and the Google/hyperscaler ramp.</w:t>
      </w:r>
      <w:r>
        <w:t xml:space="preserve"> </w:t>
      </w:r>
      <w:r>
        <w:t xml:space="preserve">Management pointed to a newly closed multiyear contract with Google plus business "across multiple hyperscalers... neoclouds and colos," and said the company is booked out in terms of capacity and backlog for the next couple of years. Investors will want quantified updates: is the Q1 CPI print tracking to the 20-30% guide, and is management reiterating (or raising) the 65-75% FY27 / 80%+ FY28 targets? Any commentary on order momentum following Celestica's blowout hyperscaler-driven quarter will be closely parsed as a cross-check.</w:t>
      </w:r>
    </w:p>
    <w:p>
      <w:pPr>
        <w:pStyle w:val="BodyText"/>
      </w:pPr>
      <w:r>
        <w:rPr>
          <w:b/>
          <w:bCs/>
        </w:rPr>
        <w:t xml:space="preserve">2. Margin trajectory and mix.</w:t>
      </w:r>
      <w:r>
        <w:t xml:space="preserve"> </w:t>
      </w:r>
      <w:r>
        <w:t xml:space="preserve">CFO Kevin Krumm was explicit that power margins are going to be and will continue to be higher than our cloud margins within CPI, and that FY27's ~80bps of consolidated operating margin expansion is "driven in large part by recouped FY '26 investments in CPI." Confirmation of margin recapture (or any slippage) will be a key swing factor for the stock.</w:t>
      </w:r>
    </w:p>
    <w:p>
      <w:pPr>
        <w:pStyle w:val="BodyText"/>
      </w:pPr>
      <w:r>
        <w:rPr>
          <w:b/>
          <w:bCs/>
        </w:rPr>
        <w:t xml:space="preserve">3. RMS/ITS "core" business health.</w:t>
      </w:r>
      <w:r>
        <w:t xml:space="preserve"> </w:t>
      </w:r>
      <w:r>
        <w:t xml:space="preserve">New CEO-designate Michael Hartung flagged a balanced perspective, first half, second half, relatively measured view on the second half for RemainCo, while noting the business is lapping a really strong comparable in the second half, including that strong Q4. Watch industrial/healthcare strength versus continued lifestyle/consumer softness, and whether automotive is stabilizing as guided.</w:t>
      </w:r>
    </w:p>
    <w:p>
      <w:pPr>
        <w:pStyle w:val="BodyText"/>
      </w:pPr>
      <w:r>
        <w:rPr>
          <w:b/>
          <w:bCs/>
        </w:rPr>
        <w:t xml:space="preserve">4. Capital intensity and free cash flow.</w:t>
      </w:r>
      <w:r>
        <w:t xml:space="preserve"> </w:t>
      </w:r>
      <w:r>
        <w:t xml:space="preserve">With CapEx guided to more than double (to $1.4-1.6B) and FCF conversion guided at only ~60% (ex-spin costs) for FY27, investors should track working capital, inventory (already up 15% y/y in Q4 to support CPI/RMS growth), and net debt — Flex closed FY26 with $3.75B of long-term debt and completed the EP² acquisition (funded partly via a new $1.45B term loan) alongside the spin announcement.</w:t>
      </w:r>
    </w:p>
    <w:p>
      <w:pPr>
        <w:pStyle w:val="BodyText"/>
      </w:pPr>
      <w:r>
        <w:rPr>
          <w:b/>
          <w:bCs/>
        </w:rPr>
        <w:t xml:space="preserve">5. Spin-off execution and disclosure cadence.</w:t>
      </w:r>
      <w:r>
        <w:t xml:space="preserve"> </w:t>
      </w:r>
      <w:r>
        <w:t xml:space="preserve">Any update on separation timeline (targeted Q1 calendar 2027), stand-alone financial disclosures, leadership team build-out for SpinCo, and the rescheduled fall Investor Day will matter for how the market values the eventual two entities.</w:t>
      </w:r>
    </w:p>
    <w:p>
      <w:pPr>
        <w:pStyle w:val="BodyText"/>
      </w:pPr>
      <w:r>
        <w:rPr>
          <w:b/>
          <w:bCs/>
        </w:rPr>
        <w:t xml:space="preserve">6. Macro/geopolitical overhang.</w:t>
      </w:r>
      <w:r>
        <w:t xml:space="preserve"> </w:t>
      </w:r>
      <w:r>
        <w:t xml:space="preserve">Flex continues to absorb costs tied to the August 2025 Ukraine missile strike on its Mukachevo facility, and broader AI-capex sentiment has clearly become more volatile (memory/semis selloff, "circular financing" concerns around hyperscaler AI deals). Even a solid quarter could see a muted stock reaction if the market's broader AI-infrastructure risk appetite stays shaky, as seen with Amkor's post-earnings drop despite a beat.</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Flex enters this print as a fundamentally re-rated story — a legacy EMS name transformed by AI data-center power/cooling exposure, now formalizing that transformation via a spin-off. The setup is a classic "priced for perfection" situation: guidance implies accelerating growth and margin expansion, a marquee hyperscaler customer roster, and a credible playbook (having already executed the Nextracker spin). But the stock's ~30% pullback from its late-June highs shows the market has grown more discriminating about AI-infrastructure capex durability and valuation. The critical questions for tomorrow:</w:t>
      </w:r>
      <w:r>
        <w:t xml:space="preserve"> </w:t>
      </w:r>
      <w:r>
        <w:rPr>
          <w:b/>
          <w:bCs/>
        </w:rPr>
        <w:t xml:space="preserve">does CPI reaccelerate as scripted into the back half of FY27, does margin recapture show up on schedule, and does management reaffirm (or raise) the aggressive FY27/FY28 CPI growth targets</w:t>
      </w:r>
      <w:r>
        <w:t xml:space="preserve"> </w:t>
      </w:r>
      <w:r>
        <w:t xml:space="preserve">— because the bar for anything less than a clean beat-and-raise looks high.</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2026-07-29T00:41:21Z</dcterms:created>
  <dcterms:modified xsi:type="dcterms:W3CDTF">2026-07-29T00:41:21Z</dcterms:modified>
</cp:coreProperties>
</file>

<file path=docProps/custom.xml><?xml version="1.0" encoding="utf-8"?>
<Properties xmlns="http://schemas.openxmlformats.org/officeDocument/2006/custom-properties" xmlns:vt="http://schemas.openxmlformats.org/officeDocument/2006/docPropsVTypes"/>
</file>