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lex-earnings-predictions--2026-07-29"/>
    <w:p>
      <w:pPr>
        <w:pStyle w:val="Heading1"/>
      </w:pPr>
      <w:r>
        <w:t xml:space="preserve">FLEX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~$7.68B vs. cons $7.58B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~$0.95 vs. cons $0.93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CPI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~27% vs. cons 25%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~$7.90B vs. cons $7.91B (fiscal 2027 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~$1.04 vs. cons $1.02 (fiscal 2027 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~$33.40B vs. cons $33.16B (fiscal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~$4.52 vs. cons $4.47 (fiscal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CPI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~70% vs. cons 70% (fiscal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~$1.50B vs. cons $1.50B (fiscal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The Q1 beat and modest fiscal-2027 raise should support the initial reaction, but the guide implies ~</w:t>
            </w:r>
            <m:oMath>
              <m:r>
                <m:t>25.72</m:t>
              </m:r>
              <m:r>
                <m:t>B</m:t>
              </m:r>
              <m:r>
                <m:t>o</m:t>
              </m:r>
              <m:r>
                <m:t>f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Q</m:t>
              </m:r>
              <m:r>
                <m:t>1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m</m:t>
              </m:r>
              <m:r>
                <m:t>a</m:t>
              </m:r>
              <m:r>
                <m:t>t</m:t>
              </m:r>
              <m:r>
                <m:t>h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25.55B. That limited out-period uplift leaves the steep second-half CPI ramp largely unchanged, constraining estimate revisions and causing part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2026-07-29T00:39:19Z</dcterms:created>
  <dcterms:modified xsi:type="dcterms:W3CDTF">2026-07-29T00:39:19Z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