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flex-fiscal-2027-q1-earnings-preview"/>
    <w:p>
      <w:pPr>
        <w:pStyle w:val="Heading1"/>
      </w:pPr>
      <w:r>
        <w:t xml:space="preserve">FLEX Fiscal 2027 Q1 Earnings Preview</w:t>
      </w:r>
    </w:p>
    <w:p>
      <w:pPr>
        <w:pStyle w:val="BlockText"/>
      </w:pPr>
      <w:r>
        <w:rPr>
          <w:b/>
          <w:bCs/>
        </w:rPr>
        <w:t xml:space="preserve">Timing note:</w:t>
      </w:r>
      <w:r>
        <w:t xml:space="preserve"> </w:t>
      </w:r>
      <w:r>
        <w:t xml:space="preserve">Flex’s July 8 announcement schedules results</w:t>
      </w:r>
      <w:r>
        <w:t xml:space="preserve"> </w:t>
      </w:r>
      <w:r>
        <w:rPr>
          <w:b/>
          <w:bCs/>
        </w:rPr>
        <w:t xml:space="preserve">before the market opens on Wednesday, July 29, 2026</w:t>
      </w:r>
      <w:r>
        <w:t xml:space="preserve">, followed by the earnings call at</w:t>
      </w:r>
      <w:r>
        <w:t xml:space="preserve"> </w:t>
      </w:r>
      <w:r>
        <w:rPr>
          <w:b/>
          <w:bCs/>
        </w:rPr>
        <w:t xml:space="preserve">8:30 a.m. ET</w:t>
      </w:r>
      <w:r>
        <w:t xml:space="preserve">. Given today’s date, the event is scheduled for</w:t>
      </w:r>
      <w:r>
        <w:t xml:space="preserve"> </w:t>
      </w:r>
      <w:r>
        <w:rPr>
          <w:b/>
          <w:bCs/>
        </w:rPr>
        <w:t xml:space="preserve">today, not tomorrow</w:t>
      </w:r>
      <w:r>
        <w:t xml:space="preserve">. No fiscal Q1 results were available in the financial-document database at the time of this preview.</w:t>
      </w:r>
    </w:p>
    <w:bookmarkStart w:id="9" w:name="investment-setup"/>
    <w:p>
      <w:pPr>
        <w:pStyle w:val="Heading2"/>
      </w:pPr>
      <w:r>
        <w:t xml:space="preserve">Investment setup</w:t>
      </w:r>
    </w:p>
    <w:p>
      <w:pPr>
        <w:pStyle w:val="FirstParagraph"/>
      </w:pPr>
      <w:r>
        <w:t xml:space="preserve">Flex enters the quarter with one dominant narrative:</w:t>
      </w:r>
      <w:r>
        <w:t xml:space="preserve"> </w:t>
      </w:r>
      <w:r>
        <w:rPr>
          <w:b/>
          <w:bCs/>
        </w:rPr>
        <w:t xml:space="preserve">Can its Cloud and Power Infrastructure business execute against an exceptionally steep AI-infrastructure ramp?</w:t>
      </w:r>
    </w:p>
    <w:p>
      <w:pPr>
        <w:pStyle w:val="BodyText"/>
      </w:pPr>
      <w:r>
        <w:t xml:space="preserve">The company’s May outlook calls for CPI revenue growth of</w:t>
      </w:r>
      <w:r>
        <w:t xml:space="preserve"> </w:t>
      </w:r>
      <w:r>
        <w:rPr>
          <w:b/>
          <w:bCs/>
        </w:rPr>
        <w:t xml:space="preserve">65%–75% in fiscal 2027</w:t>
      </w:r>
      <w:r>
        <w:t xml:space="preserve">, followed by growth above</w:t>
      </w:r>
      <w:r>
        <w:t xml:space="preserve"> </w:t>
      </w:r>
      <w:r>
        <w:rPr>
          <w:b/>
          <w:bCs/>
        </w:rPr>
        <w:t xml:space="preserve">80% in fiscal 2028</w:t>
      </w:r>
      <w:r>
        <w:t xml:space="preserve">. Those targets are supported by multiyear business with Google and other hyperscalers, colocation providers, neoclouds, and utilities. Flex says capacity is effectively booked for the next couple of years.</w:t>
      </w:r>
    </w:p>
    <w:p>
      <w:pPr>
        <w:pStyle w:val="BodyText"/>
      </w:pPr>
      <w:r>
        <w:t xml:space="preserve">That opportunity has materially rerated the stock. Through the July 28 close of</w:t>
      </w:r>
      <w:r>
        <w:t xml:space="preserve"> </w:t>
      </w:r>
      <w:r>
        <w:rPr>
          <w:b/>
          <w:bCs/>
        </w:rPr>
        <w:t xml:space="preserve">$113.31</w:t>
      </w:r>
      <w:r>
        <w:t xml:space="preserve">, FLEX was approximately:</w:t>
      </w:r>
    </w:p>
    <w:p>
      <w:pPr>
        <w:pStyle w:val="Compact"/>
        <w:numPr>
          <w:ilvl w:val="0"/>
          <w:numId w:val="1001"/>
        </w:numPr>
      </w:pPr>
      <w:r>
        <w:rPr>
          <w:b/>
          <w:bCs/>
        </w:rPr>
        <w:t xml:space="preserve">Up 88%</w:t>
      </w:r>
      <w:r>
        <w:t xml:space="preserve"> </w:t>
      </w:r>
      <w:r>
        <w:t xml:space="preserve">from year-end 2025</w:t>
      </w:r>
    </w:p>
    <w:p>
      <w:pPr>
        <w:pStyle w:val="Compact"/>
        <w:numPr>
          <w:ilvl w:val="0"/>
          <w:numId w:val="1001"/>
        </w:numPr>
      </w:pPr>
      <w:r>
        <w:rPr>
          <w:b/>
          <w:bCs/>
        </w:rPr>
        <w:t xml:space="preserve">Up 17%</w:t>
      </w:r>
      <w:r>
        <w:t xml:space="preserve"> </w:t>
      </w:r>
      <w:r>
        <w:t xml:space="preserve">from the May 5 pre-earnings close</w:t>
      </w:r>
    </w:p>
    <w:p>
      <w:pPr>
        <w:pStyle w:val="Compact"/>
        <w:numPr>
          <w:ilvl w:val="0"/>
          <w:numId w:val="1001"/>
        </w:numPr>
      </w:pPr>
      <w:r>
        <w:rPr>
          <w:b/>
          <w:bCs/>
        </w:rPr>
        <w:t xml:space="preserve">Down 30%</w:t>
      </w:r>
      <w:r>
        <w:t xml:space="preserve"> </w:t>
      </w:r>
      <w:r>
        <w:t xml:space="preserve">from its June 30 closing high of $162.07</w:t>
      </w:r>
    </w:p>
    <w:p>
      <w:pPr>
        <w:pStyle w:val="FirstParagraph"/>
      </w:pPr>
      <w:r>
        <w:t xml:space="preserve">The pullback reduces—but does not eliminate—the expectations risk. Recent market sentiment toward AI infrastructure has weakened, while investor expectations for Flex’s CPI business remain high.</w:t>
      </w:r>
    </w:p>
    <w:bookmarkEnd w:id="9"/>
    <w:bookmarkStart w:id="11" w:name="company-guidance"/>
    <w:p>
      <w:pPr>
        <w:pStyle w:val="Heading2"/>
      </w:pPr>
      <w:r>
        <w:t xml:space="preserve">Company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Q1 2027 guidance</w:t>
            </w:r>
          </w:p>
        </w:tc>
        <w:tc>
          <w:tcPr/>
          <w:p>
            <w:pPr>
              <w:pStyle w:val="Compact"/>
              <w:jc w:val="right"/>
            </w:pPr>
            <w:r>
              <w:t xml:space="preserve">Fiscal Q1 2026 actual</w:t>
            </w:r>
          </w:p>
        </w:tc>
        <w:tc>
          <w:tcPr/>
          <w:p>
            <w:pPr>
              <w:pStyle w:val="Compact"/>
              <w:jc w:val="right"/>
            </w:pPr>
            <w:r>
              <w:t xml:space="preserve">Implied YoY change</w:t>
            </w:r>
          </w:p>
        </w:tc>
      </w:tr>
      <w:tr>
        <w:tc>
          <w:tcPr/>
          <w:p>
            <w:pPr>
              <w:pStyle w:val="Compact"/>
            </w:pPr>
            <w:r>
              <w:t xml:space="preserve">Revenue</w:t>
            </w:r>
          </w:p>
        </w:tc>
        <w:tc>
          <w:tcPr/>
          <w:p>
            <w:pPr>
              <w:pStyle w:val="Compact"/>
              <w:jc w:val="right"/>
            </w:pPr>
            <m:oMath>
              <m:r>
                <m:t>7.35</m:t>
              </m:r>
              <m:r>
                <m:t>B</m:t>
              </m:r>
              <m:r>
                <m:rPr>
                  <m:sty m:val="p"/>
                </m:rPr>
                <m:t>–</m:t>
              </m:r>
            </m:oMath>
            <w:r>
              <w:t xml:space="preserve">7.65B</w:t>
            </w:r>
          </w:p>
        </w:tc>
        <w:tc>
          <w:tcPr/>
          <w:p>
            <w:pPr>
              <w:pStyle w:val="Compact"/>
              <w:jc w:val="right"/>
            </w:pPr>
            <w:r>
              <w:t xml:space="preserve">$6.575B</w:t>
            </w:r>
          </w:p>
        </w:tc>
        <w:tc>
          <w:tcPr/>
          <w:p>
            <w:pPr>
              <w:pStyle w:val="Compact"/>
              <w:jc w:val="right"/>
            </w:pPr>
            <w:r>
              <w:t xml:space="preserve">~12%–16%</w:t>
            </w:r>
          </w:p>
        </w:tc>
      </w:tr>
      <w:tr>
        <w:tc>
          <w:tcPr/>
          <w:p>
            <w:pPr>
              <w:pStyle w:val="Compact"/>
            </w:pPr>
            <w:r>
              <w:t xml:space="preserve">Adjusted operating income</w:t>
            </w:r>
          </w:p>
        </w:tc>
        <w:tc>
          <w:tcPr/>
          <w:p>
            <w:pPr>
              <w:pStyle w:val="Compact"/>
              <w:jc w:val="right"/>
            </w:pPr>
            <m:oMath>
              <m:r>
                <m:t>469</m:t>
              </m:r>
              <m:r>
                <m:t>M</m:t>
              </m:r>
              <m:r>
                <m:rPr>
                  <m:sty m:val="p"/>
                </m:rPr>
                <m:t>–</m:t>
              </m:r>
            </m:oMath>
            <w:r>
              <w:t xml:space="preserve">499M</w:t>
            </w:r>
          </w:p>
        </w:tc>
        <w:tc>
          <w:tcPr/>
          <w:p>
            <w:pPr>
              <w:pStyle w:val="Compact"/>
              <w:jc w:val="right"/>
            </w:pPr>
            <w:r>
              <w:t xml:space="preserve">$395M</w:t>
            </w:r>
          </w:p>
        </w:tc>
        <w:tc>
          <w:tcPr/>
          <w:p>
            <w:pPr>
              <w:pStyle w:val="Compact"/>
              <w:jc w:val="right"/>
            </w:pPr>
            <w:r>
              <w:t xml:space="preserve">~19%–26%</w:t>
            </w:r>
          </w:p>
        </w:tc>
      </w:tr>
      <w:tr>
        <w:tc>
          <w:tcPr/>
          <w:p>
            <w:pPr>
              <w:pStyle w:val="Compact"/>
            </w:pPr>
            <w:r>
              <w:t xml:space="preserve">Adjusted EPS</w:t>
            </w:r>
          </w:p>
        </w:tc>
        <w:tc>
          <w:tcPr/>
          <w:p>
            <w:pPr>
              <w:pStyle w:val="Compact"/>
              <w:jc w:val="right"/>
            </w:pPr>
            <m:oMath>
              <m:r>
                <m:t>0.86</m:t>
              </m:r>
              <m:r>
                <m:rPr>
                  <m:sty m:val="p"/>
                </m:rPr>
                <m:t>–</m:t>
              </m:r>
            </m:oMath>
            <w:r>
              <w:t xml:space="preserve">0.92</w:t>
            </w:r>
          </w:p>
        </w:tc>
        <w:tc>
          <w:tcPr/>
          <w:p>
            <w:pPr>
              <w:pStyle w:val="Compact"/>
              <w:jc w:val="right"/>
            </w:pPr>
            <w:r>
              <w:t xml:space="preserve">$0.72</w:t>
            </w:r>
          </w:p>
        </w:tc>
        <w:tc>
          <w:tcPr/>
          <w:p>
            <w:pPr>
              <w:pStyle w:val="Compact"/>
              <w:jc w:val="right"/>
            </w:pPr>
            <w:r>
              <w:t xml:space="preserve">~19%–28%</w:t>
            </w:r>
          </w:p>
        </w:tc>
      </w:tr>
      <w:tr>
        <w:tc>
          <w:tcPr/>
          <w:p>
            <w:pPr>
              <w:pStyle w:val="Compact"/>
            </w:pPr>
            <w:r>
              <w:t xml:space="preserve">Interest and other expense</w:t>
            </w:r>
          </w:p>
        </w:tc>
        <w:tc>
          <w:tcPr/>
          <w:p>
            <w:pPr>
              <w:pStyle w:val="Compact"/>
              <w:jc w:val="right"/>
            </w:pPr>
            <w:r>
              <w:t xml:space="preserve">Approximately $65M</w:t>
            </w:r>
          </w:p>
        </w:tc>
        <w:tc>
          <w:tcPr/>
          <w:p>
            <w:pPr>
              <w:pStyle w:val="Compact"/>
              <w:jc w:val="right"/>
            </w:pPr>
            <w:r>
              <w:t xml:space="preserve">—</w:t>
            </w:r>
          </w:p>
        </w:tc>
        <w:tc>
          <w:tcPr/>
          <w:p>
            <w:pPr>
              <w:pStyle w:val="Compact"/>
              <w:jc w:val="right"/>
            </w:pPr>
            <w:r>
              <w:t xml:space="preserve">—</w:t>
            </w:r>
          </w:p>
        </w:tc>
      </w:tr>
      <w:tr>
        <w:tc>
          <w:tcPr/>
          <w:p>
            <w:pPr>
              <w:pStyle w:val="Compact"/>
            </w:pPr>
            <w:r>
              <w:t xml:space="preserve">Adjusted tax rate</w:t>
            </w:r>
          </w:p>
        </w:tc>
        <w:tc>
          <w:tcPr/>
          <w:p>
            <w:pPr>
              <w:pStyle w:val="Compact"/>
              <w:jc w:val="right"/>
            </w:pPr>
            <w:r>
              <w:t xml:space="preserve">Approximately 21%</w:t>
            </w:r>
          </w:p>
        </w:tc>
        <w:tc>
          <w:tcPr/>
          <w:p>
            <w:pPr>
              <w:pStyle w:val="Compact"/>
              <w:jc w:val="right"/>
            </w:pPr>
            <w:r>
              <w:t xml:space="preserve">—</w:t>
            </w:r>
          </w:p>
        </w:tc>
        <w:tc>
          <w:tcPr/>
          <w:p>
            <w:pPr>
              <w:pStyle w:val="Compact"/>
              <w:jc w:val="right"/>
            </w:pPr>
            <w:r>
              <w:t xml:space="preserve">—</w:t>
            </w:r>
          </w:p>
        </w:tc>
      </w:tr>
      <w:tr>
        <w:tc>
          <w:tcPr/>
          <w:p>
            <w:pPr>
              <w:pStyle w:val="Compact"/>
            </w:pPr>
            <w:r>
              <w:t xml:space="preserve">Diluted share count</w:t>
            </w:r>
          </w:p>
        </w:tc>
        <w:tc>
          <w:tcPr/>
          <w:p>
            <w:pPr>
              <w:pStyle w:val="Compact"/>
              <w:jc w:val="right"/>
            </w:pPr>
            <w:r>
              <w:t xml:space="preserve">Approximately 374M</w:t>
            </w:r>
          </w:p>
        </w:tc>
        <w:tc>
          <w:tcPr/>
          <w:p>
            <w:pPr>
              <w:pStyle w:val="Compact"/>
              <w:jc w:val="right"/>
            </w:pPr>
            <w:r>
              <w:t xml:space="preserve">381M</w:t>
            </w:r>
          </w:p>
        </w:tc>
        <w:tc>
          <w:tcPr/>
          <w:p>
            <w:pPr>
              <w:pStyle w:val="Compact"/>
              <w:jc w:val="right"/>
            </w:pPr>
            <w:r>
              <w:t xml:space="preserve">~2% lower</w:t>
            </w:r>
          </w:p>
        </w:tc>
      </w:tr>
    </w:tbl>
    <w:p>
      <w:pPr>
        <w:pStyle w:val="BodyText"/>
      </w:pPr>
      <w:r>
        <w:t xml:space="preserve">At the midpoint, guidance implies:</w:t>
      </w:r>
    </w:p>
    <w:p>
      <w:pPr>
        <w:pStyle w:val="Compact"/>
        <w:numPr>
          <w:ilvl w:val="0"/>
          <w:numId w:val="1002"/>
        </w:numPr>
      </w:pPr>
      <w:r>
        <w:t xml:space="preserve">Revenue of</w:t>
      </w:r>
      <w:r>
        <w:t xml:space="preserve"> </w:t>
      </w:r>
      <w:r>
        <w:rPr>
          <w:b/>
          <w:bCs/>
        </w:rPr>
        <w:t xml:space="preserve">$7.50 billion</w:t>
      </w:r>
      <w:r>
        <w:t xml:space="preserve">, up about</w:t>
      </w:r>
      <w:r>
        <w:t xml:space="preserve"> </w:t>
      </w:r>
      <w:r>
        <w:rPr>
          <w:b/>
          <w:bCs/>
        </w:rPr>
        <w:t xml:space="preserve">14%</w:t>
      </w:r>
    </w:p>
    <w:p>
      <w:pPr>
        <w:pStyle w:val="Compact"/>
        <w:numPr>
          <w:ilvl w:val="0"/>
          <w:numId w:val="1002"/>
        </w:numPr>
      </w:pPr>
      <w:r>
        <w:t xml:space="preserve">Adjusted operating income of</w:t>
      </w:r>
      <w:r>
        <w:t xml:space="preserve"> </w:t>
      </w:r>
      <w:r>
        <w:rPr>
          <w:b/>
          <w:bCs/>
        </w:rPr>
        <w:t xml:space="preserve">$484 million</w:t>
      </w:r>
      <w:r>
        <w:t xml:space="preserve">, up about</w:t>
      </w:r>
      <w:r>
        <w:t xml:space="preserve"> </w:t>
      </w:r>
      <w:r>
        <w:rPr>
          <w:b/>
          <w:bCs/>
        </w:rPr>
        <w:t xml:space="preserve">23%</w:t>
      </w:r>
    </w:p>
    <w:p>
      <w:pPr>
        <w:pStyle w:val="Compact"/>
        <w:numPr>
          <w:ilvl w:val="0"/>
          <w:numId w:val="1002"/>
        </w:numPr>
      </w:pPr>
      <w:r>
        <w:t xml:space="preserve">Adjusted operating margin of roughly</w:t>
      </w:r>
      <w:r>
        <w:t xml:space="preserve"> </w:t>
      </w:r>
      <w:r>
        <w:rPr>
          <w:b/>
          <w:bCs/>
        </w:rPr>
        <w:t xml:space="preserve">6.45%</w:t>
      </w:r>
      <w:r>
        <w:t xml:space="preserve">, versus approximately 6.0% last year</w:t>
      </w:r>
    </w:p>
    <w:p>
      <w:pPr>
        <w:pStyle w:val="Compact"/>
        <w:numPr>
          <w:ilvl w:val="0"/>
          <w:numId w:val="1002"/>
        </w:numPr>
      </w:pPr>
      <w:r>
        <w:t xml:space="preserve">Adjusted EPS of</w:t>
      </w:r>
      <w:r>
        <w:t xml:space="preserve"> </w:t>
      </w:r>
      <w:r>
        <w:rPr>
          <w:b/>
          <w:bCs/>
        </w:rPr>
        <w:t xml:space="preserve">$0.89</w:t>
      </w:r>
      <w:r>
        <w:t xml:space="preserve">, up about</w:t>
      </w:r>
      <w:r>
        <w:t xml:space="preserve"> </w:t>
      </w:r>
      <w:r>
        <w:rPr>
          <w:b/>
          <w:bCs/>
        </w:rPr>
        <w:t xml:space="preserve">24%</w:t>
      </w:r>
    </w:p>
    <w:bookmarkStart w:id="10" w:name="segment-growth-guidance"/>
    <w:p>
      <w:pPr>
        <w:pStyle w:val="Heading3"/>
      </w:pPr>
      <w:r>
        <w:t xml:space="preserve">Segment growth guidance</w:t>
      </w:r>
    </w:p>
    <w:p>
      <w:pPr>
        <w:pStyle w:val="Compact"/>
        <w:numPr>
          <w:ilvl w:val="0"/>
          <w:numId w:val="1003"/>
        </w:numPr>
      </w:pPr>
      <w:r>
        <w:rPr>
          <w:b/>
          <w:bCs/>
        </w:rPr>
        <w:t xml:space="preserve">CPI:</w:t>
      </w:r>
      <w:r>
        <w:t xml:space="preserve"> </w:t>
      </w:r>
      <w:r>
        <w:t xml:space="preserve">up 20%–30%</w:t>
      </w:r>
    </w:p>
    <w:p>
      <w:pPr>
        <w:pStyle w:val="Compact"/>
        <w:numPr>
          <w:ilvl w:val="0"/>
          <w:numId w:val="1003"/>
        </w:numPr>
      </w:pPr>
      <w:r>
        <w:rPr>
          <w:b/>
          <w:bCs/>
        </w:rPr>
        <w:t xml:space="preserve">RMS:</w:t>
      </w:r>
      <w:r>
        <w:t xml:space="preserve"> </w:t>
      </w:r>
      <w:r>
        <w:t xml:space="preserve">up high single digits to low double digits</w:t>
      </w:r>
    </w:p>
    <w:p>
      <w:pPr>
        <w:pStyle w:val="Compact"/>
        <w:numPr>
          <w:ilvl w:val="0"/>
          <w:numId w:val="1003"/>
        </w:numPr>
      </w:pPr>
      <w:r>
        <w:rPr>
          <w:b/>
          <w:bCs/>
        </w:rPr>
        <w:t xml:space="preserve">ITS:</w:t>
      </w:r>
      <w:r>
        <w:t xml:space="preserve"> </w:t>
      </w:r>
      <w:r>
        <w:t xml:space="preserve">up high single digits to low double digits</w:t>
      </w:r>
    </w:p>
    <w:p>
      <w:pPr>
        <w:pStyle w:val="FirstParagraph"/>
      </w:pPr>
      <w:r>
        <w:t xml:space="preserve">Management explicitly said CPI growth would be comparatively modest in Q1 and accelerate in the second half as new capacity and customer programs ramp.</w:t>
      </w:r>
    </w:p>
    <w:bookmarkEnd w:id="10"/>
    <w:bookmarkEnd w:id="11"/>
    <w:bookmarkStart w:id="12" w:name="X0cabe154dd527e7a517b3906cf260bc0a960d46"/>
    <w:p>
      <w:pPr>
        <w:pStyle w:val="Heading2"/>
      </w:pPr>
      <w:r>
        <w:t xml:space="preserve">The most important issue: CPI’s back-end-loaded ramp</w:t>
      </w:r>
    </w:p>
    <w:p>
      <w:pPr>
        <w:pStyle w:val="FirstParagraph"/>
      </w:pPr>
      <w:r>
        <w:t xml:space="preserve">The quarter itself is less important than evidence supporting the full-year CPI target.</w:t>
      </w:r>
    </w:p>
    <w:p>
      <w:pPr>
        <w:pStyle w:val="BodyText"/>
      </w:pPr>
      <w:r>
        <w:t xml:space="preserve">At the midpoint of the fiscal 2027 outlook, total Flex revenue would rise from</w:t>
      </w:r>
      <w:r>
        <w:t xml:space="preserve"> </w:t>
      </w:r>
      <m:oMath>
        <m:r>
          <m:t>27.9</m:t>
        </m:r>
        <m:r>
          <m:t>b</m:t>
        </m:r>
        <m:r>
          <m:t>i</m:t>
        </m:r>
        <m:r>
          <m:t>l</m:t>
        </m:r>
        <m:r>
          <m:t>l</m:t>
        </m:r>
        <m:r>
          <m:t>i</m:t>
        </m:r>
        <m:r>
          <m:t>o</m:t>
        </m:r>
        <m:r>
          <m:t>n</m:t>
        </m:r>
        <m:r>
          <m:t>t</m:t>
        </m:r>
        <m:r>
          <m:t>o</m:t>
        </m:r>
        <m:r>
          <m:t>a</m:t>
        </m:r>
        <m:r>
          <m:t>p</m:t>
        </m:r>
        <m:r>
          <m:t>p</m:t>
        </m:r>
        <m:r>
          <m:t>r</m:t>
        </m:r>
        <m:r>
          <m:t>o</m:t>
        </m:r>
        <m:r>
          <m:t>x</m:t>
        </m:r>
        <m:r>
          <m:t>i</m:t>
        </m:r>
        <m:r>
          <m:t>m</m:t>
        </m:r>
        <m:r>
          <m:t>a</m:t>
        </m:r>
        <m:r>
          <m:t>t</m:t>
        </m:r>
        <m:r>
          <m:t>e</m:t>
        </m:r>
        <m:r>
          <m:t>l</m:t>
        </m:r>
        <m:r>
          <m:t>y</m:t>
        </m:r>
        <m:r>
          <m:rPr>
            <m:sty m:val="p"/>
          </m:rPr>
          <m:t>*</m:t>
        </m:r>
        <m:r>
          <m:rPr>
            <m:sty m:val="p"/>
          </m:rPr>
          <m:t>*</m:t>
        </m:r>
      </m:oMath>
      <w:r>
        <w:t xml:space="preserve">33.1 billion**. Meanwhile, 70% midpoint growth in CPI would take segment revenue from</w:t>
      </w:r>
      <w:r>
        <w:t xml:space="preserve"> </w:t>
      </w:r>
      <m:oMath>
        <m:r>
          <m:t>6.6</m:t>
        </m:r>
        <m:r>
          <m:t>b</m:t>
        </m:r>
        <m:r>
          <m:t>i</m:t>
        </m:r>
        <m:r>
          <m:t>l</m:t>
        </m:r>
        <m:r>
          <m:t>l</m:t>
        </m:r>
        <m:r>
          <m:t>i</m:t>
        </m:r>
        <m:r>
          <m:t>o</m:t>
        </m:r>
        <m:r>
          <m:t>n</m:t>
        </m:r>
        <m:r>
          <m:t>t</m:t>
        </m:r>
        <m:r>
          <m:t>o</m:t>
        </m:r>
        <m:r>
          <m:t>a</m:t>
        </m:r>
        <m:r>
          <m:t>p</m:t>
        </m:r>
        <m:r>
          <m:t>p</m:t>
        </m:r>
        <m:r>
          <m:t>r</m:t>
        </m:r>
        <m:r>
          <m:t>o</m:t>
        </m:r>
        <m:r>
          <m:t>x</m:t>
        </m:r>
        <m:r>
          <m:t>i</m:t>
        </m:r>
        <m:r>
          <m:t>m</m:t>
        </m:r>
        <m:r>
          <m:t>a</m:t>
        </m:r>
        <m:r>
          <m:t>t</m:t>
        </m:r>
        <m:r>
          <m:t>e</m:t>
        </m:r>
        <m:r>
          <m:t>l</m:t>
        </m:r>
        <m:r>
          <m:t>y</m:t>
        </m:r>
        <m:r>
          <m:rPr>
            <m:sty m:val="p"/>
          </m:rPr>
          <m:t>*</m:t>
        </m:r>
        <m:r>
          <m:rPr>
            <m:sty m:val="p"/>
          </m:rPr>
          <m:t>*</m:t>
        </m:r>
      </m:oMath>
      <w:r>
        <w:t xml:space="preserve">11.2 billion**. On that basis, CPI would account for roughly</w:t>
      </w:r>
      <w:r>
        <w:t xml:space="preserve"> </w:t>
      </w:r>
      <w:r>
        <w:rPr>
          <w:b/>
          <w:bCs/>
        </w:rPr>
        <w:t xml:space="preserve">90% of Flex’s total annual revenue growth</w:t>
      </w:r>
      <w:r>
        <w:t xml:space="preserve">.</w:t>
      </w:r>
    </w:p>
    <w:p>
      <w:pPr>
        <w:pStyle w:val="BodyText"/>
      </w:pPr>
      <w:r>
        <w:t xml:space="preserve">The full-year model therefore depends heavily on a sharp acceleration after Q1:</w:t>
      </w:r>
    </w:p>
    <w:p>
      <w:pPr>
        <w:pStyle w:val="Compact"/>
        <w:numPr>
          <w:ilvl w:val="0"/>
          <w:numId w:val="1004"/>
        </w:numPr>
      </w:pPr>
      <w:r>
        <w:t xml:space="preserve">Q1 CPI growth guidance:</w:t>
      </w:r>
      <w:r>
        <w:t xml:space="preserve"> </w:t>
      </w:r>
      <w:r>
        <w:rPr>
          <w:b/>
          <w:bCs/>
        </w:rPr>
        <w:t xml:space="preserve">20%–30%</w:t>
      </w:r>
    </w:p>
    <w:p>
      <w:pPr>
        <w:pStyle w:val="Compact"/>
        <w:numPr>
          <w:ilvl w:val="0"/>
          <w:numId w:val="1004"/>
        </w:numPr>
      </w:pPr>
      <w:r>
        <w:t xml:space="preserve">Full-year CPI growth guidance:</w:t>
      </w:r>
      <w:r>
        <w:t xml:space="preserve"> </w:t>
      </w:r>
      <w:r>
        <w:rPr>
          <w:b/>
          <w:bCs/>
        </w:rPr>
        <w:t xml:space="preserve">65%–75%</w:t>
      </w:r>
    </w:p>
    <w:p>
      <w:pPr>
        <w:pStyle w:val="Compact"/>
        <w:numPr>
          <w:ilvl w:val="0"/>
          <w:numId w:val="1004"/>
        </w:numPr>
      </w:pPr>
      <w:r>
        <w:t xml:space="preserve">Fiscal 2028 CPI target:</w:t>
      </w:r>
      <w:r>
        <w:t xml:space="preserve"> </w:t>
      </w:r>
      <w:r>
        <w:rPr>
          <w:b/>
          <w:bCs/>
        </w:rPr>
        <w:t xml:space="preserve">more than 80%</w:t>
      </w:r>
    </w:p>
    <w:p>
      <w:pPr>
        <w:pStyle w:val="FirstParagraph"/>
      </w:pPr>
      <w:r>
        <w:t xml:space="preserve">Investors should focus on whether management still has sufficient visibility into:</w:t>
      </w:r>
    </w:p>
    <w:p>
      <w:pPr>
        <w:pStyle w:val="Compact"/>
        <w:numPr>
          <w:ilvl w:val="0"/>
          <w:numId w:val="1005"/>
        </w:numPr>
      </w:pPr>
      <w:r>
        <w:t xml:space="preserve">Customer deployment schedules</w:t>
      </w:r>
    </w:p>
    <w:p>
      <w:pPr>
        <w:pStyle w:val="Compact"/>
        <w:numPr>
          <w:ilvl w:val="0"/>
          <w:numId w:val="1005"/>
        </w:numPr>
      </w:pPr>
      <w:r>
        <w:t xml:space="preserve">Factory and equipment readiness</w:t>
      </w:r>
    </w:p>
    <w:p>
      <w:pPr>
        <w:pStyle w:val="Compact"/>
        <w:numPr>
          <w:ilvl w:val="0"/>
          <w:numId w:val="1005"/>
        </w:numPr>
      </w:pPr>
      <w:r>
        <w:t xml:space="preserve">Component availability</w:t>
      </w:r>
    </w:p>
    <w:p>
      <w:pPr>
        <w:pStyle w:val="Compact"/>
        <w:numPr>
          <w:ilvl w:val="0"/>
          <w:numId w:val="1005"/>
        </w:numPr>
      </w:pPr>
      <w:r>
        <w:t xml:space="preserve">Customer qualifications</w:t>
      </w:r>
    </w:p>
    <w:p>
      <w:pPr>
        <w:pStyle w:val="Compact"/>
        <w:numPr>
          <w:ilvl w:val="0"/>
          <w:numId w:val="1005"/>
        </w:numPr>
      </w:pPr>
      <w:r>
        <w:t xml:space="preserve">Power, cooling, and compute-program ramps</w:t>
      </w:r>
    </w:p>
    <w:p>
      <w:pPr>
        <w:pStyle w:val="Compact"/>
        <w:numPr>
          <w:ilvl w:val="0"/>
          <w:numId w:val="1005"/>
        </w:numPr>
      </w:pPr>
      <w:r>
        <w:t xml:space="preserve">The timing of revenue recognition across the second half</w:t>
      </w:r>
    </w:p>
    <w:p>
      <w:pPr>
        <w:pStyle w:val="FirstParagraph"/>
      </w:pPr>
      <w:r>
        <w:t xml:space="preserve">A Q1 beat without stronger confidence in the second-half ramp would be less meaningful than an in-line quarter accompanied by concrete evidence that capacity deployment remains on schedule.</w:t>
      </w:r>
    </w:p>
    <w:bookmarkEnd w:id="12"/>
    <w:bookmarkStart w:id="13" w:name="Xff5cf2b97c0a551606b593f5eb45025e32311d9"/>
    <w:p>
      <w:pPr>
        <w:pStyle w:val="Heading2"/>
      </w:pPr>
      <w:r>
        <w:t xml:space="preserve">CPI margin progression matters almost as much as revenue</w:t>
      </w:r>
    </w:p>
    <w:p>
      <w:pPr>
        <w:pStyle w:val="FirstParagraph"/>
      </w:pPr>
      <w:r>
        <w:t xml:space="preserve">CPI generated fiscal 2026 revenue of $6.6 billion, up 38%, but adjusted segment margin fell</w:t>
      </w:r>
      <w:r>
        <w:t xml:space="preserve"> </w:t>
      </w:r>
      <w:r>
        <w:rPr>
          <w:b/>
          <w:bCs/>
        </w:rPr>
        <w:t xml:space="preserve">100 basis points to 9.2%</w:t>
      </w:r>
      <w:r>
        <w:t xml:space="preserve"> </w:t>
      </w:r>
      <w:r>
        <w:t xml:space="preserve">because of infrastructure investment and cloud-program ramp costs.</w:t>
      </w:r>
    </w:p>
    <w:p>
      <w:pPr>
        <w:pStyle w:val="BodyText"/>
      </w:pPr>
      <w:r>
        <w:t xml:space="preserve">Management expects to:</w:t>
      </w:r>
    </w:p>
    <w:p>
      <w:pPr>
        <w:pStyle w:val="Compact"/>
        <w:numPr>
          <w:ilvl w:val="0"/>
          <w:numId w:val="1006"/>
        </w:numPr>
      </w:pPr>
      <w:r>
        <w:t xml:space="preserve">Recover the full 100 basis points during fiscal 2027</w:t>
      </w:r>
    </w:p>
    <w:p>
      <w:pPr>
        <w:pStyle w:val="Compact"/>
        <w:numPr>
          <w:ilvl w:val="0"/>
          <w:numId w:val="1006"/>
        </w:numPr>
      </w:pPr>
      <w:r>
        <w:t xml:space="preserve">Expand CPI margin by another 50–100 basis points in fiscal 2028</w:t>
      </w:r>
    </w:p>
    <w:p>
      <w:pPr>
        <w:pStyle w:val="Compact"/>
        <w:numPr>
          <w:ilvl w:val="0"/>
          <w:numId w:val="1006"/>
        </w:numPr>
      </w:pPr>
      <w:r>
        <w:t xml:space="preserve">Benefit from power growing faster than cloud, since power carries higher margins</w:t>
      </w:r>
    </w:p>
    <w:p>
      <w:pPr>
        <w:pStyle w:val="FirstParagraph"/>
      </w:pPr>
      <w:r>
        <w:t xml:space="preserve">For Q1, the key question is whether utilization and mix are beginning to offset startup costs. Investors should listen for:</w:t>
      </w:r>
    </w:p>
    <w:p>
      <w:pPr>
        <w:pStyle w:val="Compact"/>
        <w:numPr>
          <w:ilvl w:val="0"/>
          <w:numId w:val="1007"/>
        </w:numPr>
      </w:pPr>
      <w:r>
        <w:t xml:space="preserve">The current margin difference between power and cloud</w:t>
      </w:r>
    </w:p>
    <w:p>
      <w:pPr>
        <w:pStyle w:val="Compact"/>
        <w:numPr>
          <w:ilvl w:val="0"/>
          <w:numId w:val="1007"/>
        </w:numPr>
      </w:pPr>
      <w:r>
        <w:t xml:space="preserve">Whether new cloud ramps remain on budget</w:t>
      </w:r>
    </w:p>
    <w:p>
      <w:pPr>
        <w:pStyle w:val="Compact"/>
        <w:numPr>
          <w:ilvl w:val="0"/>
          <w:numId w:val="1007"/>
        </w:numPr>
      </w:pPr>
      <w:r>
        <w:t xml:space="preserve">Progress absorbing fixed infrastructure costs</w:t>
      </w:r>
    </w:p>
    <w:p>
      <w:pPr>
        <w:pStyle w:val="Compact"/>
        <w:numPr>
          <w:ilvl w:val="0"/>
          <w:numId w:val="1007"/>
        </w:numPr>
      </w:pPr>
      <w:r>
        <w:t xml:space="preserve">Any yield, labor, qualification, or underutilization issues</w:t>
      </w:r>
    </w:p>
    <w:p>
      <w:pPr>
        <w:pStyle w:val="Compact"/>
        <w:numPr>
          <w:ilvl w:val="0"/>
          <w:numId w:val="1007"/>
        </w:numPr>
      </w:pPr>
      <w:r>
        <w:t xml:space="preserve">Whether the acquisition of Electrical Power Products is contributing as expected</w:t>
      </w:r>
    </w:p>
    <w:p>
      <w:pPr>
        <w:pStyle w:val="FirstParagraph"/>
      </w:pPr>
      <w:r>
        <w:t xml:space="preserve">An upside revenue result driven predominantly by lower-margin cloud integration could be less valuable than a smaller beat with strong power growth and better segment margins.</w:t>
      </w:r>
    </w:p>
    <w:bookmarkEnd w:id="13"/>
    <w:bookmarkStart w:id="14" w:name="cash-flow-and-capital-intensity"/>
    <w:p>
      <w:pPr>
        <w:pStyle w:val="Heading2"/>
      </w:pPr>
      <w:r>
        <w:t xml:space="preserve">Cash flow and capital intensity</w:t>
      </w:r>
    </w:p>
    <w:p>
      <w:pPr>
        <w:pStyle w:val="FirstParagraph"/>
      </w:pPr>
      <w:r>
        <w:t xml:space="preserve">Fiscal 2027 is an unusually capital-intensive year. Flex expects:</w:t>
      </w:r>
    </w:p>
    <w:p>
      <w:pPr>
        <w:pStyle w:val="Compact"/>
        <w:numPr>
          <w:ilvl w:val="0"/>
          <w:numId w:val="1008"/>
        </w:numPr>
      </w:pPr>
      <m:oMath>
        <m:r>
          <m:t>1.4</m:t>
        </m:r>
        <m:r>
          <m:t>B</m:t>
        </m:r>
        <m:r>
          <m:rPr>
            <m:sty m:val="p"/>
          </m:rPr>
          <m:t>–</m:t>
        </m:r>
      </m:oMath>
      <w:r>
        <w:rPr>
          <w:b/>
          <w:bCs/>
        </w:rPr>
        <w:t xml:space="preserve">1.6B of capital expenditures</w:t>
      </w:r>
    </w:p>
    <w:p>
      <w:pPr>
        <w:pStyle w:val="Compact"/>
        <w:numPr>
          <w:ilvl w:val="0"/>
          <w:numId w:val="1008"/>
        </w:numPr>
      </w:pPr>
      <w:r>
        <w:t xml:space="preserve">Versus</w:t>
      </w:r>
      <w:r>
        <w:t xml:space="preserve"> </w:t>
      </w:r>
      <w:r>
        <w:rPr>
          <w:b/>
          <w:bCs/>
        </w:rPr>
        <w:t xml:space="preserve">$625M</w:t>
      </w:r>
      <w:r>
        <w:t xml:space="preserve"> </w:t>
      </w:r>
      <w:r>
        <w:t xml:space="preserve">in fiscal 2026</w:t>
      </w:r>
    </w:p>
    <w:p>
      <w:pPr>
        <w:pStyle w:val="Compact"/>
        <w:numPr>
          <w:ilvl w:val="0"/>
          <w:numId w:val="1008"/>
        </w:numPr>
      </w:pPr>
      <w:r>
        <w:t xml:space="preserve">Free-cash-flow conversion of approximately</w:t>
      </w:r>
      <w:r>
        <w:t xml:space="preserve"> </w:t>
      </w:r>
      <w:r>
        <w:rPr>
          <w:b/>
          <w:bCs/>
        </w:rPr>
        <w:t xml:space="preserve">60%</w:t>
      </w:r>
      <w:r>
        <w:t xml:space="preserve">, excluding spin-related costs</w:t>
      </w:r>
    </w:p>
    <w:p>
      <w:pPr>
        <w:pStyle w:val="FirstParagraph"/>
      </w:pPr>
      <w:r>
        <w:t xml:space="preserve">Management expects capital expenditures to normalize in fiscal 2028, but that depends on current projects entering production on schedule and generating the anticipated returns.</w:t>
      </w:r>
    </w:p>
    <w:p>
      <w:pPr>
        <w:pStyle w:val="BodyText"/>
      </w:pPr>
      <w:r>
        <w:t xml:space="preserve">Working capital also deserves scrutiny. At the end of fiscal 2026:</w:t>
      </w:r>
    </w:p>
    <w:p>
      <w:pPr>
        <w:pStyle w:val="Compact"/>
        <w:numPr>
          <w:ilvl w:val="0"/>
          <w:numId w:val="1009"/>
        </w:numPr>
      </w:pPr>
      <w:r>
        <w:t xml:space="preserve">Inventory was up</w:t>
      </w:r>
      <w:r>
        <w:t xml:space="preserve"> </w:t>
      </w:r>
      <w:r>
        <w:rPr>
          <w:b/>
          <w:bCs/>
        </w:rPr>
        <w:t xml:space="preserve">15% year over year</w:t>
      </w:r>
    </w:p>
    <w:p>
      <w:pPr>
        <w:pStyle w:val="Compact"/>
        <w:numPr>
          <w:ilvl w:val="0"/>
          <w:numId w:val="1009"/>
        </w:numPr>
      </w:pPr>
      <w:r>
        <w:t xml:space="preserve">Accounts receivable and contract assets had risen materially</w:t>
      </w:r>
    </w:p>
    <w:p>
      <w:pPr>
        <w:pStyle w:val="Compact"/>
        <w:numPr>
          <w:ilvl w:val="0"/>
          <w:numId w:val="1009"/>
        </w:numPr>
      </w:pPr>
      <w:r>
        <w:t xml:space="preserve">Much of the inventory increase was attributed to CPI and RMS growth</w:t>
      </w:r>
    </w:p>
    <w:p>
      <w:pPr>
        <w:pStyle w:val="FirstParagraph"/>
      </w:pPr>
      <w:r>
        <w:t xml:space="preserve">Inventory growth is appropriate if it supports contracted ramps. It becomes a warning sign if customer deployments slip. Investors should therefore compare inventory, receivables, customer advances, and operating cash flow against revenue growth.</w:t>
      </w:r>
    </w:p>
    <w:p>
      <w:pPr>
        <w:pStyle w:val="BodyText"/>
      </w:pPr>
      <w:r>
        <w:t xml:space="preserve">The company also drew an additional</w:t>
      </w:r>
      <w:r>
        <w:t xml:space="preserve"> </w:t>
      </w:r>
      <w:r>
        <w:rPr>
          <w:b/>
          <w:bCs/>
        </w:rPr>
        <w:t xml:space="preserve">$1.45 billion term loan</w:t>
      </w:r>
      <w:r>
        <w:t xml:space="preserve"> </w:t>
      </w:r>
      <w:r>
        <w:t xml:space="preserve">after fiscal year-end. With capital expenditures, acquisitions, and separation costs all elevated, commentary on leverage and future buybacks will be important.</w:t>
      </w:r>
    </w:p>
    <w:bookmarkEnd w:id="14"/>
    <w:bookmarkStart w:id="15" w:name="X131fa20a8869b171a601e269403cbe759af96f1"/>
    <w:p>
      <w:pPr>
        <w:pStyle w:val="Heading2"/>
      </w:pPr>
      <w:r>
        <w:t xml:space="preserve">Full-year guidance is the likely stock-moving item</w:t>
      </w:r>
    </w:p>
    <w:p>
      <w:pPr>
        <w:pStyle w:val="FirstParagraph"/>
      </w:pPr>
      <w:r>
        <w:t xml:space="preserve">Flex’s fiscal 2027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FY2027 guidance</w:t>
            </w:r>
          </w:p>
        </w:tc>
      </w:tr>
      <w:tr>
        <w:tc>
          <w:tcPr/>
          <w:p>
            <w:pPr>
              <w:pStyle w:val="Compact"/>
            </w:pPr>
            <w:r>
              <w:t xml:space="preserve">Revenue</w:t>
            </w:r>
          </w:p>
        </w:tc>
        <w:tc>
          <w:tcPr/>
          <w:p>
            <w:pPr>
              <w:pStyle w:val="Compact"/>
              <w:jc w:val="right"/>
            </w:pPr>
            <m:oMath>
              <m:r>
                <m:t>32.3</m:t>
              </m:r>
              <m:r>
                <m:t>B</m:t>
              </m:r>
              <m:r>
                <m:rPr>
                  <m:sty m:val="p"/>
                </m:rPr>
                <m:t>–</m:t>
              </m:r>
            </m:oMath>
            <w:r>
              <w:t xml:space="preserve">33.8B</w:t>
            </w:r>
          </w:p>
        </w:tc>
      </w:tr>
      <w:tr>
        <w:tc>
          <w:tcPr/>
          <w:p>
            <w:pPr>
              <w:pStyle w:val="Compact"/>
            </w:pPr>
            <w:r>
              <w:t xml:space="preserve">Adjusted operating margin</w:t>
            </w:r>
          </w:p>
        </w:tc>
        <w:tc>
          <w:tcPr/>
          <w:p>
            <w:pPr>
              <w:pStyle w:val="Compact"/>
              <w:jc w:val="right"/>
            </w:pPr>
            <w:r>
              <w:t xml:space="preserve">7.0%–7.1%</w:t>
            </w:r>
          </w:p>
        </w:tc>
      </w:tr>
      <w:tr>
        <w:tc>
          <w:tcPr/>
          <w:p>
            <w:pPr>
              <w:pStyle w:val="Compact"/>
            </w:pPr>
            <w:r>
              <w:t xml:space="preserve">Adjusted EPS</w:t>
            </w:r>
          </w:p>
        </w:tc>
        <w:tc>
          <w:tcPr/>
          <w:p>
            <w:pPr>
              <w:pStyle w:val="Compact"/>
              <w:jc w:val="right"/>
            </w:pPr>
            <m:oMath>
              <m:r>
                <m:t>4.21</m:t>
              </m:r>
              <m:r>
                <m:rPr>
                  <m:sty m:val="p"/>
                </m:rPr>
                <m:t>–</m:t>
              </m:r>
            </m:oMath>
            <w:r>
              <w:t xml:space="preserve">4.51</w:t>
            </w:r>
          </w:p>
        </w:tc>
      </w:tr>
      <w:tr>
        <w:tc>
          <w:tcPr/>
          <w:p>
            <w:pPr>
              <w:pStyle w:val="Compact"/>
            </w:pPr>
            <w:r>
              <w:t xml:space="preserve">Capital expenditures</w:t>
            </w:r>
          </w:p>
        </w:tc>
        <w:tc>
          <w:tcPr/>
          <w:p>
            <w:pPr>
              <w:pStyle w:val="Compact"/>
              <w:jc w:val="right"/>
            </w:pPr>
            <m:oMath>
              <m:r>
                <m:t>1.4</m:t>
              </m:r>
              <m:r>
                <m:t>B</m:t>
              </m:r>
              <m:r>
                <m:rPr>
                  <m:sty m:val="p"/>
                </m:rPr>
                <m:t>–</m:t>
              </m:r>
            </m:oMath>
            <w:r>
              <w:t xml:space="preserve">1.6B</w:t>
            </w:r>
          </w:p>
        </w:tc>
      </w:tr>
      <w:tr>
        <w:tc>
          <w:tcPr/>
          <w:p>
            <w:pPr>
              <w:pStyle w:val="Compact"/>
            </w:pPr>
            <w:r>
              <w:t xml:space="preserve">Free-cash-flow conversion</w:t>
            </w:r>
          </w:p>
        </w:tc>
        <w:tc>
          <w:tcPr/>
          <w:p>
            <w:pPr>
              <w:pStyle w:val="Compact"/>
              <w:jc w:val="right"/>
            </w:pPr>
            <w:r>
              <w:t xml:space="preserve">Approximately 60%, excluding spin costs</w:t>
            </w:r>
          </w:p>
        </w:tc>
      </w:tr>
    </w:tbl>
    <w:p>
      <w:pPr>
        <w:pStyle w:val="BodyText"/>
      </w:pPr>
      <w:r>
        <w:t xml:space="preserve">The midpoint implies approximately:</w:t>
      </w:r>
    </w:p>
    <w:p>
      <w:pPr>
        <w:pStyle w:val="Compact"/>
        <w:numPr>
          <w:ilvl w:val="0"/>
          <w:numId w:val="1010"/>
        </w:numPr>
      </w:pPr>
      <w:r>
        <w:rPr>
          <w:b/>
          <w:bCs/>
        </w:rPr>
        <w:t xml:space="preserve">18% revenue growth</w:t>
      </w:r>
    </w:p>
    <w:p>
      <w:pPr>
        <w:pStyle w:val="Compact"/>
        <w:numPr>
          <w:ilvl w:val="0"/>
          <w:numId w:val="1010"/>
        </w:numPr>
      </w:pPr>
      <w:r>
        <w:rPr>
          <w:b/>
          <w:bCs/>
        </w:rPr>
        <w:t xml:space="preserve">32% adjusted EPS growth</w:t>
      </w:r>
    </w:p>
    <w:p>
      <w:pPr>
        <w:pStyle w:val="Compact"/>
        <w:numPr>
          <w:ilvl w:val="0"/>
          <w:numId w:val="1010"/>
        </w:numPr>
      </w:pPr>
      <w:r>
        <w:t xml:space="preserve">Roughly</w:t>
      </w:r>
      <w:r>
        <w:t xml:space="preserve"> </w:t>
      </w:r>
      <w:r>
        <w:rPr>
          <w:b/>
          <w:bCs/>
        </w:rPr>
        <w:t xml:space="preserve">80 basis points of operating-margin expansion</w:t>
      </w:r>
    </w:p>
    <w:p>
      <w:pPr>
        <w:pStyle w:val="FirstParagraph"/>
      </w:pPr>
      <w:r>
        <w:t xml:space="preserve">Because only limited time has passed since this guidance was issued in May, an unchanged outlook would not necessarily be negative. However, the stock’s rerating and the market’s high expectations mean investors may want either:</w:t>
      </w:r>
    </w:p>
    <w:p>
      <w:pPr>
        <w:pStyle w:val="Compact"/>
        <w:numPr>
          <w:ilvl w:val="0"/>
          <w:numId w:val="1011"/>
        </w:numPr>
      </w:pPr>
      <w:r>
        <w:t xml:space="preserve">An explicit increase to guidance, or</w:t>
      </w:r>
    </w:p>
    <w:p>
      <w:pPr>
        <w:pStyle w:val="Compact"/>
        <w:numPr>
          <w:ilvl w:val="0"/>
          <w:numId w:val="1011"/>
        </w:numPr>
      </w:pPr>
      <w:r>
        <w:t xml:space="preserve">Much stronger evidence that the back-half ramp is fully de-risked</w:t>
      </w:r>
    </w:p>
    <w:p>
      <w:pPr>
        <w:pStyle w:val="FirstParagraph"/>
      </w:pPr>
      <w:r>
        <w:t xml:space="preserve">The quality of guidance matters more than a mechanical raise. A higher revenue forecast paired with lower margins, greater capital expenditures, or weaker cash conversion would be a mixed outcome.</w:t>
      </w:r>
    </w:p>
    <w:bookmarkEnd w:id="15"/>
    <w:bookmarkStart w:id="16" w:name="the-cpi-spin-off"/>
    <w:p>
      <w:pPr>
        <w:pStyle w:val="Heading2"/>
      </w:pPr>
      <w:r>
        <w:t xml:space="preserve">The CPI spin-off</w:t>
      </w:r>
    </w:p>
    <w:p>
      <w:pPr>
        <w:pStyle w:val="FirstParagraph"/>
      </w:pPr>
      <w:r>
        <w:t xml:space="preserve">Flex plans to separate CPI into an independent public company in the</w:t>
      </w:r>
      <w:r>
        <w:t xml:space="preserve"> </w:t>
      </w:r>
      <w:r>
        <w:rPr>
          <w:b/>
          <w:bCs/>
        </w:rPr>
        <w:t xml:space="preserve">first quarter of calendar 2027</w:t>
      </w:r>
      <w:r>
        <w:t xml:space="preserve">.</w:t>
      </w:r>
    </w:p>
    <w:p>
      <w:pPr>
        <w:pStyle w:val="BodyText"/>
      </w:pPr>
      <w:r>
        <w:t xml:space="preserve">Under the planned leadership structure:</w:t>
      </w:r>
    </w:p>
    <w:p>
      <w:pPr>
        <w:pStyle w:val="Compact"/>
        <w:numPr>
          <w:ilvl w:val="0"/>
          <w:numId w:val="1012"/>
        </w:numPr>
      </w:pPr>
      <w:r>
        <w:t xml:space="preserve">Current CEO</w:t>
      </w:r>
      <w:r>
        <w:t xml:space="preserve"> </w:t>
      </w:r>
      <w:r>
        <w:rPr>
          <w:b/>
          <w:bCs/>
        </w:rPr>
        <w:t xml:space="preserve">Revathi Advaithi</w:t>
      </w:r>
      <w:r>
        <w:t xml:space="preserve"> </w:t>
      </w:r>
      <w:r>
        <w:t xml:space="preserve">will become CEO of CPI SpinCo</w:t>
      </w:r>
    </w:p>
    <w:p>
      <w:pPr>
        <w:pStyle w:val="Compact"/>
        <w:numPr>
          <w:ilvl w:val="0"/>
          <w:numId w:val="1012"/>
        </w:numPr>
      </w:pPr>
      <w:r>
        <w:t xml:space="preserve">Current President and Chief Commercial Officer</w:t>
      </w:r>
      <w:r>
        <w:t xml:space="preserve"> </w:t>
      </w:r>
      <w:r>
        <w:rPr>
          <w:b/>
          <w:bCs/>
        </w:rPr>
        <w:t xml:space="preserve">Michael Hartung</w:t>
      </w:r>
      <w:r>
        <w:t xml:space="preserve"> </w:t>
      </w:r>
      <w:r>
        <w:t xml:space="preserve">will become CEO of the remaining Flex business</w:t>
      </w:r>
    </w:p>
    <w:p>
      <w:pPr>
        <w:pStyle w:val="Compact"/>
        <w:numPr>
          <w:ilvl w:val="0"/>
          <w:numId w:val="1012"/>
        </w:numPr>
      </w:pPr>
      <w:r>
        <w:t xml:space="preserve">Advaithi is expected to remain Flex chairman for a transitional period</w:t>
      </w:r>
    </w:p>
    <w:p>
      <w:pPr>
        <w:pStyle w:val="FirstParagraph"/>
      </w:pPr>
      <w:r>
        <w:t xml:space="preserve">Investors will want updates on:</w:t>
      </w:r>
    </w:p>
    <w:p>
      <w:pPr>
        <w:pStyle w:val="Compact"/>
        <w:numPr>
          <w:ilvl w:val="0"/>
          <w:numId w:val="1013"/>
        </w:numPr>
      </w:pPr>
      <w:r>
        <w:t xml:space="preserve">Whether the transaction remains on schedule</w:t>
      </w:r>
    </w:p>
    <w:p>
      <w:pPr>
        <w:pStyle w:val="Compact"/>
        <w:numPr>
          <w:ilvl w:val="0"/>
          <w:numId w:val="1013"/>
        </w:numPr>
      </w:pPr>
      <w:r>
        <w:t xml:space="preserve">Timing of the Form 10 filing and stand-alone financial disclosures</w:t>
      </w:r>
    </w:p>
    <w:p>
      <w:pPr>
        <w:pStyle w:val="Compact"/>
        <w:numPr>
          <w:ilvl w:val="0"/>
          <w:numId w:val="1013"/>
        </w:numPr>
      </w:pPr>
      <w:r>
        <w:t xml:space="preserve">Allocation of debt and capital between the two businesses</w:t>
      </w:r>
    </w:p>
    <w:p>
      <w:pPr>
        <w:pStyle w:val="Compact"/>
        <w:numPr>
          <w:ilvl w:val="0"/>
          <w:numId w:val="1013"/>
        </w:numPr>
      </w:pPr>
      <w:r>
        <w:t xml:space="preserve">Separation and stranded-cost estimates</w:t>
      </w:r>
    </w:p>
    <w:p>
      <w:pPr>
        <w:pStyle w:val="Compact"/>
        <w:numPr>
          <w:ilvl w:val="0"/>
          <w:numId w:val="1013"/>
        </w:numPr>
      </w:pPr>
      <w:r>
        <w:t xml:space="preserve">Expected dis-synergies</w:t>
      </w:r>
    </w:p>
    <w:p>
      <w:pPr>
        <w:pStyle w:val="Compact"/>
        <w:numPr>
          <w:ilvl w:val="0"/>
          <w:numId w:val="1013"/>
        </w:numPr>
      </w:pPr>
      <w:r>
        <w:t xml:space="preserve">Manufacturing assets or facilities that must be divided</w:t>
      </w:r>
    </w:p>
    <w:p>
      <w:pPr>
        <w:pStyle w:val="Compact"/>
        <w:numPr>
          <w:ilvl w:val="0"/>
          <w:numId w:val="1013"/>
        </w:numPr>
      </w:pPr>
      <w:r>
        <w:t xml:space="preserve">Governance and leadership below the CEO level</w:t>
      </w:r>
    </w:p>
    <w:p>
      <w:pPr>
        <w:pStyle w:val="FirstParagraph"/>
      </w:pPr>
      <w:r>
        <w:t xml:space="preserve">The spin is intended to expose the valuation of the higher-growth CPI franchise while leaving Flex as a more focused advanced-manufacturing company. But the separation also creates execution risk during the most aggressive capacity expansion in the company’s recent history.</w:t>
      </w:r>
    </w:p>
    <w:bookmarkEnd w:id="16"/>
    <w:bookmarkStart w:id="19" w:name="X85f4556d050cf3a2e6bb1cfef8b04440570b24f"/>
    <w:p>
      <w:pPr>
        <w:pStyle w:val="Heading2"/>
      </w:pPr>
      <w:r>
        <w:t xml:space="preserve">What to watch in the remaining businesses</w:t>
      </w:r>
    </w:p>
    <w:bookmarkStart w:id="17" w:name="regulated-manufacturing-solutions"/>
    <w:p>
      <w:pPr>
        <w:pStyle w:val="Heading3"/>
      </w:pPr>
      <w:r>
        <w:t xml:space="preserve">Regulated Manufacturing Solutions</w:t>
      </w:r>
    </w:p>
    <w:p>
      <w:pPr>
        <w:pStyle w:val="FirstParagraph"/>
      </w:pPr>
      <w:r>
        <w:t xml:space="preserve">RMS generated fiscal 2026 revenue of $10.2 billion and a 6.0% adjusted operating margin. Near-term growth is expected from industrial and healthcare, while automotive stabilizes.</w:t>
      </w:r>
    </w:p>
    <w:p>
      <w:pPr>
        <w:pStyle w:val="BodyText"/>
      </w:pPr>
      <w:r>
        <w:t xml:space="preserve">Key questions:</w:t>
      </w:r>
    </w:p>
    <w:p>
      <w:pPr>
        <w:pStyle w:val="Compact"/>
        <w:numPr>
          <w:ilvl w:val="0"/>
          <w:numId w:val="1014"/>
        </w:numPr>
      </w:pPr>
      <w:r>
        <w:t xml:space="preserve">Is industrial demand maintaining momentum?</w:t>
      </w:r>
    </w:p>
    <w:p>
      <w:pPr>
        <w:pStyle w:val="Compact"/>
        <w:numPr>
          <w:ilvl w:val="0"/>
          <w:numId w:val="1014"/>
        </w:numPr>
      </w:pPr>
      <w:r>
        <w:t xml:space="preserve">Is healthcare growth accelerating?</w:t>
      </w:r>
    </w:p>
    <w:p>
      <w:pPr>
        <w:pStyle w:val="Compact"/>
        <w:numPr>
          <w:ilvl w:val="0"/>
          <w:numId w:val="1014"/>
        </w:numPr>
      </w:pPr>
      <w:r>
        <w:t xml:space="preserve">Has automotive reached a bottom?</w:t>
      </w:r>
    </w:p>
    <w:p>
      <w:pPr>
        <w:pStyle w:val="Compact"/>
        <w:numPr>
          <w:ilvl w:val="0"/>
          <w:numId w:val="1014"/>
        </w:numPr>
      </w:pPr>
      <w:r>
        <w:t xml:space="preserve">Can RMS continue expanding margins while management prepares for the separation?</w:t>
      </w:r>
    </w:p>
    <w:bookmarkEnd w:id="17"/>
    <w:bookmarkStart w:id="18" w:name="integrated-technology-solutions"/>
    <w:p>
      <w:pPr>
        <w:pStyle w:val="Heading3"/>
      </w:pPr>
      <w:r>
        <w:t xml:space="preserve">Integrated Technology Solutions</w:t>
      </w:r>
    </w:p>
    <w:p>
      <w:pPr>
        <w:pStyle w:val="FirstParagraph"/>
      </w:pPr>
      <w:r>
        <w:t xml:space="preserve">ITS generated fiscal 2026 revenue of $11.1 billion and a 5.4% margin. Communications is growing, but lifestyle remains soft and Flex continues to exit or deemphasize lower-value consumer programs.</w:t>
      </w:r>
    </w:p>
    <w:p>
      <w:pPr>
        <w:pStyle w:val="BodyText"/>
      </w:pPr>
      <w:r>
        <w:t xml:space="preserve">Investors should look for:</w:t>
      </w:r>
    </w:p>
    <w:p>
      <w:pPr>
        <w:pStyle w:val="Compact"/>
        <w:numPr>
          <w:ilvl w:val="0"/>
          <w:numId w:val="1015"/>
        </w:numPr>
      </w:pPr>
      <w:r>
        <w:t xml:space="preserve">Networking demand connected to data-center investment</w:t>
      </w:r>
    </w:p>
    <w:p>
      <w:pPr>
        <w:pStyle w:val="Compact"/>
        <w:numPr>
          <w:ilvl w:val="0"/>
          <w:numId w:val="1015"/>
        </w:numPr>
      </w:pPr>
      <w:r>
        <w:t xml:space="preserve">Further lifestyle revenue exits</w:t>
      </w:r>
    </w:p>
    <w:p>
      <w:pPr>
        <w:pStyle w:val="Compact"/>
        <w:numPr>
          <w:ilvl w:val="0"/>
          <w:numId w:val="1015"/>
        </w:numPr>
      </w:pPr>
      <w:r>
        <w:t xml:space="preserve">Whether portfolio pruning is improving margins</w:t>
      </w:r>
    </w:p>
    <w:p>
      <w:pPr>
        <w:pStyle w:val="Compact"/>
        <w:numPr>
          <w:ilvl w:val="0"/>
          <w:numId w:val="1015"/>
        </w:numPr>
      </w:pPr>
      <w:r>
        <w:t xml:space="preserve">A clearer post-spin margin framework</w:t>
      </w:r>
    </w:p>
    <w:p>
      <w:pPr>
        <w:pStyle w:val="FirstParagraph"/>
      </w:pPr>
      <w:r>
        <w:t xml:space="preserve">Post-spin Flex is targeting low- to mid-single-digit revenue growth, with investment concentrated in healthcare, robotics, warehouse automation, and networking.</w:t>
      </w:r>
    </w:p>
    <w:bookmarkEnd w:id="18"/>
    <w:bookmarkEnd w:id="19"/>
    <w:bookmarkStart w:id="23" w:name="bull-base-and-bear-interpretations"/>
    <w:p>
      <w:pPr>
        <w:pStyle w:val="Heading2"/>
      </w:pPr>
      <w:r>
        <w:t xml:space="preserve">Bull, base, and bear interpretations</w:t>
      </w:r>
    </w:p>
    <w:bookmarkStart w:id="20" w:name="bull-case"/>
    <w:p>
      <w:pPr>
        <w:pStyle w:val="Heading3"/>
      </w:pPr>
      <w:r>
        <w:t xml:space="preserve">Bull case</w:t>
      </w:r>
    </w:p>
    <w:p>
      <w:pPr>
        <w:pStyle w:val="Compact"/>
        <w:numPr>
          <w:ilvl w:val="0"/>
          <w:numId w:val="1016"/>
        </w:numPr>
      </w:pPr>
      <w:r>
        <w:t xml:space="preserve">Revenue and EPS exceed the upper end of Q1 guidance</w:t>
      </w:r>
    </w:p>
    <w:p>
      <w:pPr>
        <w:pStyle w:val="Compact"/>
        <w:numPr>
          <w:ilvl w:val="0"/>
          <w:numId w:val="1016"/>
        </w:numPr>
      </w:pPr>
      <w:r>
        <w:t xml:space="preserve">CPI growth is above 30%</w:t>
      </w:r>
    </w:p>
    <w:p>
      <w:pPr>
        <w:pStyle w:val="Compact"/>
        <w:numPr>
          <w:ilvl w:val="0"/>
          <w:numId w:val="1016"/>
        </w:numPr>
      </w:pPr>
      <w:r>
        <w:t xml:space="preserve">Management raises or tightens fiscal 2027 guidance upward</w:t>
      </w:r>
    </w:p>
    <w:p>
      <w:pPr>
        <w:pStyle w:val="Compact"/>
        <w:numPr>
          <w:ilvl w:val="0"/>
          <w:numId w:val="1016"/>
        </w:numPr>
      </w:pPr>
      <w:r>
        <w:t xml:space="preserve">CPI’s 65%–75% growth target is reaffirmed with stronger customer and capacity visibility</w:t>
      </w:r>
    </w:p>
    <w:p>
      <w:pPr>
        <w:pStyle w:val="Compact"/>
        <w:numPr>
          <w:ilvl w:val="0"/>
          <w:numId w:val="1016"/>
        </w:numPr>
      </w:pPr>
      <w:r>
        <w:t xml:space="preserve">Segment margins demonstrate that fiscal 2026 investments are being absorbed</w:t>
      </w:r>
    </w:p>
    <w:p>
      <w:pPr>
        <w:pStyle w:val="Compact"/>
        <w:numPr>
          <w:ilvl w:val="0"/>
          <w:numId w:val="1016"/>
        </w:numPr>
      </w:pPr>
      <w:r>
        <w:t xml:space="preserve">Capex and cash-conversion guidance remain intact</w:t>
      </w:r>
    </w:p>
    <w:p>
      <w:pPr>
        <w:pStyle w:val="Compact"/>
        <w:numPr>
          <w:ilvl w:val="0"/>
          <w:numId w:val="1016"/>
        </w:numPr>
      </w:pPr>
      <w:r>
        <w:t xml:space="preserve">The spin remains on schedule</w:t>
      </w:r>
    </w:p>
    <w:bookmarkEnd w:id="20"/>
    <w:bookmarkStart w:id="21" w:name="base-case"/>
    <w:p>
      <w:pPr>
        <w:pStyle w:val="Heading3"/>
      </w:pPr>
      <w:r>
        <w:t xml:space="preserve">Base case</w:t>
      </w:r>
    </w:p>
    <w:p>
      <w:pPr>
        <w:pStyle w:val="Compact"/>
        <w:numPr>
          <w:ilvl w:val="0"/>
          <w:numId w:val="1017"/>
        </w:numPr>
      </w:pPr>
      <w:r>
        <w:t xml:space="preserve">Results land near the upper half of guidance</w:t>
      </w:r>
    </w:p>
    <w:p>
      <w:pPr>
        <w:pStyle w:val="Compact"/>
        <w:numPr>
          <w:ilvl w:val="0"/>
          <w:numId w:val="1017"/>
        </w:numPr>
      </w:pPr>
      <w:r>
        <w:t xml:space="preserve">CPI grows within the 20%–30% range</w:t>
      </w:r>
    </w:p>
    <w:p>
      <w:pPr>
        <w:pStyle w:val="Compact"/>
        <w:numPr>
          <w:ilvl w:val="0"/>
          <w:numId w:val="1017"/>
        </w:numPr>
      </w:pPr>
      <w:r>
        <w:t xml:space="preserve">Full-year guidance is reiterated</w:t>
      </w:r>
    </w:p>
    <w:p>
      <w:pPr>
        <w:pStyle w:val="Compact"/>
        <w:numPr>
          <w:ilvl w:val="0"/>
          <w:numId w:val="1017"/>
        </w:numPr>
      </w:pPr>
      <w:r>
        <w:t xml:space="preserve">Management emphasizes that the major revenue ramp still begins later in the year</w:t>
      </w:r>
    </w:p>
    <w:p>
      <w:pPr>
        <w:pStyle w:val="Compact"/>
        <w:numPr>
          <w:ilvl w:val="0"/>
          <w:numId w:val="1017"/>
        </w:numPr>
      </w:pPr>
      <w:r>
        <w:t xml:space="preserve">Near-term cash flow remains pressured by inventory and capital expenditures</w:t>
      </w:r>
    </w:p>
    <w:p>
      <w:pPr>
        <w:pStyle w:val="FirstParagraph"/>
      </w:pPr>
      <w:r>
        <w:t xml:space="preserve">This could produce a volatile or muted stock response because the key assumptions would remain largely untested.</w:t>
      </w:r>
    </w:p>
    <w:bookmarkEnd w:id="21"/>
    <w:bookmarkStart w:id="22" w:name="bear-case"/>
    <w:p>
      <w:pPr>
        <w:pStyle w:val="Heading3"/>
      </w:pPr>
      <w:r>
        <w:t xml:space="preserve">Bear case</w:t>
      </w:r>
    </w:p>
    <w:p>
      <w:pPr>
        <w:pStyle w:val="Compact"/>
        <w:numPr>
          <w:ilvl w:val="0"/>
          <w:numId w:val="1018"/>
        </w:numPr>
      </w:pPr>
      <w:r>
        <w:t xml:space="preserve">CPI growth falls below 20%, or management identifies customer or capacity delays</w:t>
      </w:r>
    </w:p>
    <w:p>
      <w:pPr>
        <w:pStyle w:val="Compact"/>
        <w:numPr>
          <w:ilvl w:val="0"/>
          <w:numId w:val="1018"/>
        </w:numPr>
      </w:pPr>
      <w:r>
        <w:t xml:space="preserve">Fiscal 2027 CPI growth guidance is reduced</w:t>
      </w:r>
    </w:p>
    <w:p>
      <w:pPr>
        <w:pStyle w:val="Compact"/>
        <w:numPr>
          <w:ilvl w:val="0"/>
          <w:numId w:val="1018"/>
        </w:numPr>
      </w:pPr>
      <w:r>
        <w:t xml:space="preserve">Ramp costs prevent expected margin recovery</w:t>
      </w:r>
    </w:p>
    <w:p>
      <w:pPr>
        <w:pStyle w:val="Compact"/>
        <w:numPr>
          <w:ilvl w:val="0"/>
          <w:numId w:val="1018"/>
        </w:numPr>
      </w:pPr>
      <w:r>
        <w:t xml:space="preserve">Capital expenditures rise above $1.6 billion</w:t>
      </w:r>
    </w:p>
    <w:p>
      <w:pPr>
        <w:pStyle w:val="Compact"/>
        <w:numPr>
          <w:ilvl w:val="0"/>
          <w:numId w:val="1018"/>
        </w:numPr>
      </w:pPr>
      <w:r>
        <w:t xml:space="preserve">Inventory builds faster than revenue without matching customer advances</w:t>
      </w:r>
    </w:p>
    <w:p>
      <w:pPr>
        <w:pStyle w:val="Compact"/>
        <w:numPr>
          <w:ilvl w:val="0"/>
          <w:numId w:val="1018"/>
        </w:numPr>
      </w:pPr>
      <w:r>
        <w:t xml:space="preserve">Free-cash-flow conversion is reduced</w:t>
      </w:r>
    </w:p>
    <w:p>
      <w:pPr>
        <w:pStyle w:val="Compact"/>
        <w:numPr>
          <w:ilvl w:val="0"/>
          <w:numId w:val="1018"/>
        </w:numPr>
      </w:pPr>
      <w:r>
        <w:t xml:space="preserve">Spin timing slips or separation costs increase materially</w:t>
      </w:r>
    </w:p>
    <w:bookmarkEnd w:id="22"/>
    <w:bookmarkEnd w:id="23"/>
    <w:bookmarkStart w:id="24" w:name="questions-investors-should-want-answered"/>
    <w:p>
      <w:pPr>
        <w:pStyle w:val="Heading2"/>
      </w:pPr>
      <w:r>
        <w:t xml:space="preserve">Questions investors should want answered</w:t>
      </w:r>
    </w:p>
    <w:p>
      <w:pPr>
        <w:pStyle w:val="Compact"/>
        <w:numPr>
          <w:ilvl w:val="0"/>
          <w:numId w:val="1019"/>
        </w:numPr>
      </w:pPr>
      <w:r>
        <w:t xml:space="preserve">What percentage of the fiscal 2027 CPI revenue target is covered by awarded programs versus pipeline opportunities?</w:t>
      </w:r>
    </w:p>
    <w:p>
      <w:pPr>
        <w:pStyle w:val="Compact"/>
        <w:numPr>
          <w:ilvl w:val="0"/>
          <w:numId w:val="1019"/>
        </w:numPr>
      </w:pPr>
      <w:r>
        <w:t xml:space="preserve">Have any customer deployment schedules changed since the May outlook?</w:t>
      </w:r>
    </w:p>
    <w:p>
      <w:pPr>
        <w:pStyle w:val="Compact"/>
        <w:numPr>
          <w:ilvl w:val="0"/>
          <w:numId w:val="1019"/>
        </w:numPr>
      </w:pPr>
      <w:r>
        <w:t xml:space="preserve">Is capacity installation proceeding on time across power, cooling, and compute integration?</w:t>
      </w:r>
    </w:p>
    <w:p>
      <w:pPr>
        <w:pStyle w:val="Compact"/>
        <w:numPr>
          <w:ilvl w:val="0"/>
          <w:numId w:val="1019"/>
        </w:numPr>
      </w:pPr>
      <w:r>
        <w:t xml:space="preserve">When does CPI’s growth rate begin moving from the Q1 range of 20%–30% toward the full-year target of 65%–75%?</w:t>
      </w:r>
    </w:p>
    <w:p>
      <w:pPr>
        <w:pStyle w:val="Compact"/>
        <w:numPr>
          <w:ilvl w:val="0"/>
          <w:numId w:val="1019"/>
        </w:numPr>
      </w:pPr>
      <w:r>
        <w:t xml:space="preserve">Is CPI on track to recover the full 100 basis points of margin investment this year?</w:t>
      </w:r>
    </w:p>
    <w:p>
      <w:pPr>
        <w:pStyle w:val="Compact"/>
        <w:numPr>
          <w:ilvl w:val="0"/>
          <w:numId w:val="1019"/>
        </w:numPr>
      </w:pPr>
      <w:r>
        <w:t xml:space="preserve">How much of the CPI growth is coming from higher-margin proprietary power products?</w:t>
      </w:r>
    </w:p>
    <w:p>
      <w:pPr>
        <w:pStyle w:val="Compact"/>
        <w:numPr>
          <w:ilvl w:val="0"/>
          <w:numId w:val="1019"/>
        </w:numPr>
      </w:pPr>
      <w:r>
        <w:t xml:space="preserve">Is the</w:t>
      </w:r>
      <w:r>
        <w:t xml:space="preserve"> </w:t>
      </w:r>
      <m:oMath>
        <m:r>
          <m:t>1.4</m:t>
        </m:r>
        <m:r>
          <m:t>B</m:t>
        </m:r>
        <m:r>
          <m:rPr>
            <m:sty m:val="p"/>
          </m:rPr>
          <m:t>–</m:t>
        </m:r>
      </m:oMath>
      <w:r>
        <w:t xml:space="preserve">1.6B capex plan still sufficient, or will additional investment be required?</w:t>
      </w:r>
    </w:p>
    <w:p>
      <w:pPr>
        <w:pStyle w:val="Compact"/>
        <w:numPr>
          <w:ilvl w:val="0"/>
          <w:numId w:val="1019"/>
        </w:numPr>
      </w:pPr>
      <w:r>
        <w:t xml:space="preserve">How should investors model working capital and cash flow through the peak ramp?</w:t>
      </w:r>
    </w:p>
    <w:p>
      <w:pPr>
        <w:pStyle w:val="Compact"/>
        <w:numPr>
          <w:ilvl w:val="0"/>
          <w:numId w:val="1019"/>
        </w:numPr>
      </w:pPr>
      <w:r>
        <w:t xml:space="preserve">When will Flex provide stand-alone SpinCo and RemainCo financial statements?</w:t>
      </w:r>
    </w:p>
    <w:p>
      <w:pPr>
        <w:pStyle w:val="Compact"/>
        <w:numPr>
          <w:ilvl w:val="0"/>
          <w:numId w:val="1019"/>
        </w:numPr>
      </w:pPr>
      <w:r>
        <w:t xml:space="preserve">How will debt, cash, and buyback capacity be divided at separation?</w:t>
      </w:r>
    </w:p>
    <w:bookmarkEnd w:id="24"/>
    <w:bookmarkStart w:id="25" w:name="bottom-line"/>
    <w:p>
      <w:pPr>
        <w:pStyle w:val="Heading2"/>
      </w:pPr>
      <w:r>
        <w:t xml:space="preserve">Bottom line</w:t>
      </w:r>
    </w:p>
    <w:p>
      <w:pPr>
        <w:pStyle w:val="FirstParagraph"/>
      </w:pPr>
      <w:r>
        <w:t xml:space="preserve">Flex’s Q1 numbers matter, but</w:t>
      </w:r>
      <w:r>
        <w:t xml:space="preserve"> </w:t>
      </w:r>
      <w:r>
        <w:rPr>
          <w:b/>
          <w:bCs/>
        </w:rPr>
        <w:t xml:space="preserve">proof of execution against the fiscal 2027–2028 CPI ramp is the real event</w:t>
      </w:r>
      <w:r>
        <w:t xml:space="preserve">.</w:t>
      </w:r>
    </w:p>
    <w:p>
      <w:pPr>
        <w:pStyle w:val="BodyText"/>
      </w:pPr>
      <w:r>
        <w:t xml:space="preserve">The ideal report would combine an upper-end or better Q1 result with:</w:t>
      </w:r>
    </w:p>
    <w:p>
      <w:pPr>
        <w:pStyle w:val="Compact"/>
        <w:numPr>
          <w:ilvl w:val="0"/>
          <w:numId w:val="1020"/>
        </w:numPr>
      </w:pPr>
      <w:r>
        <w:t xml:space="preserve">CPI growth and margins ahead of plan</w:t>
      </w:r>
    </w:p>
    <w:p>
      <w:pPr>
        <w:pStyle w:val="Compact"/>
        <w:numPr>
          <w:ilvl w:val="0"/>
          <w:numId w:val="1020"/>
        </w:numPr>
      </w:pPr>
      <w:r>
        <w:t xml:space="preserve">Reaffirmed or higher full-year guidance</w:t>
      </w:r>
    </w:p>
    <w:p>
      <w:pPr>
        <w:pStyle w:val="Compact"/>
        <w:numPr>
          <w:ilvl w:val="0"/>
          <w:numId w:val="1020"/>
        </w:numPr>
      </w:pPr>
      <w:r>
        <w:t xml:space="preserve">No increase in capital requirements</w:t>
      </w:r>
    </w:p>
    <w:p>
      <w:pPr>
        <w:pStyle w:val="Compact"/>
        <w:numPr>
          <w:ilvl w:val="0"/>
          <w:numId w:val="1020"/>
        </w:numPr>
      </w:pPr>
      <w:r>
        <w:t xml:space="preserve">Stronger visibility into second-half customer deployments</w:t>
      </w:r>
    </w:p>
    <w:p>
      <w:pPr>
        <w:pStyle w:val="Compact"/>
        <w:numPr>
          <w:ilvl w:val="0"/>
          <w:numId w:val="1020"/>
        </w:numPr>
      </w:pPr>
      <w:r>
        <w:t xml:space="preserve">A clean update on the calendar-Q1 2027 spin</w:t>
      </w:r>
    </w:p>
    <w:p>
      <w:pPr>
        <w:pStyle w:val="FirstParagraph"/>
      </w:pPr>
      <w:r>
        <w:t xml:space="preserve">The principal risk is not a small quarterly miss. It is evidence that customer deployments, capacity readiness, or working-capital requirements make the extraordinary CPI growth targets harder—or more expensive—to achieve. Given the stock’s sharp appreciation and recent volatility, management’s confidence and supporting operational detail may drive the reaction more than the headline EPS result.</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2026-07-29T00:39:19Z</dcterms:created>
  <dcterms:modified xsi:type="dcterms:W3CDTF">2026-07-29T00:39:19Z</dcterms:modified>
</cp:coreProperties>
</file>

<file path=docProps/custom.xml><?xml version="1.0" encoding="utf-8"?>
<Properties xmlns="http://schemas.openxmlformats.org/officeDocument/2006/custom-properties" xmlns:vt="http://schemas.openxmlformats.org/officeDocument/2006/docPropsVTypes"/>
</file>