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lex-earnings-predictions--2026-07-29"/>
    <w:p>
      <w:pPr>
        <w:pStyle w:val="Heading1"/>
      </w:pPr>
      <w:r>
        <w:t xml:space="preserve">FLEX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~$0.95 vs. cons $0.92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~$7.67B vs. cons $7.58B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Cloud and Power Infrastructure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~$1.73B vs. cons $1.76B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revenue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~$33.05B vs. cons $33.25B (FY27)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~$4.36 vs. cons $4.46 (FY27)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CPI revenue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~70% vs. cons 72% (FY27)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capital expenditures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~$1.50B vs. cons $1.50B (FY27)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free-cash-flow conversion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~60% vs. cons 60% (FY27)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-8.0% (FOLLOW-THROUGH)</w:t>
            </w:r>
          </w:p>
        </w:tc>
        <w:tc>
          <w:tcPr/>
          <w:p>
            <w:pPr>
              <w:pStyle w:val="Compact"/>
            </w:pPr>
            <w:r>
              <w:t xml:space="preserve">A ~$0.03 EPS beat versus</w:t>
            </w:r>
            <w:r>
              <w:t xml:space="preserve"> </w:t>
            </w:r>
            <m:oMath>
              <m:r>
                <m:t>0.92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i</m:t>
              </m:r>
              <m:r>
                <m:t>s</m:t>
              </m:r>
              <m:r>
                <m:t>u</m:t>
              </m:r>
              <m:r>
                <m:t>n</m:t>
              </m:r>
              <m:r>
                <m:t>l</m:t>
              </m:r>
              <m:r>
                <m:t>i</m:t>
              </m:r>
              <m:r>
                <m:t>k</m:t>
              </m:r>
              <m:r>
                <m:t>e</m:t>
              </m:r>
              <m:r>
                <m:t>l</m:t>
              </m:r>
              <m:r>
                <m:t>y</m:t>
              </m:r>
              <m:r>
                <m:t>t</m:t>
              </m:r>
              <m:r>
                <m:t>o</m:t>
              </m:r>
              <m:r>
                <m:t>o</m:t>
              </m:r>
              <m:r>
                <m:t>f</m:t>
              </m:r>
              <m:r>
                <m:t>f</m:t>
              </m:r>
              <m:r>
                <m:t>s</m:t>
              </m:r>
              <m:r>
                <m:t>e</m:t>
              </m:r>
              <m:r>
                <m:t>t</m:t>
              </m:r>
              <m:r>
                <m:t>a</m:t>
              </m:r>
              <m:r>
                <m:t> </m:t>
              </m:r>
            </m:oMath>
            <w:r>
              <w:t xml:space="preserve">0.20 FY27 EPS-guide gap versus</w:t>
            </w:r>
            <w:r>
              <w:t xml:space="preserve"> </w:t>
            </w:r>
            <m:oMath>
              <m:r>
                <m:t>4.46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s</m:t>
              </m:r>
              <m:r>
                <m:t>o</m:t>
              </m:r>
              <m:r>
                <m:t>f</m:t>
              </m:r>
              <m:r>
                <m:t>t</m:t>
              </m:r>
              <m:r>
                <m:t>e</m:t>
              </m:r>
              <m:r>
                <m:t>r</m:t>
              </m:r>
              <m:r>
                <m:t>C</m:t>
              </m:r>
              <m:r>
                <m:t>P</m:t>
              </m:r>
              <m:r>
                <m:t>I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rPr>
                  <m:sty m:val="p"/>
                </m:rPr>
                <m:t>/</m:t>
              </m:r>
              <m:r>
                <m:t>g</m:t>
              </m:r>
              <m:r>
                <m:t>r</m:t>
              </m:r>
              <m:r>
                <m:t>o</m:t>
              </m:r>
              <m:r>
                <m:t>w</m:t>
              </m:r>
              <m:r>
                <m:t>t</m:t>
              </m:r>
              <m:r>
                <m:t>h</m:t>
              </m:r>
              <m:r>
                <m:t>m</m:t>
              </m:r>
              <m:r>
                <m:t>a</m:t>
              </m:r>
              <m:r>
                <m:t>t</m:t>
              </m:r>
              <m:r>
                <m:t>h</m:t>
              </m:r>
              <m:r>
                <m:rPr>
                  <m:sty m:val="p"/>
                </m:rPr>
                <m:t>;</m:t>
              </m:r>
              <m:r>
                <m:t>u</m:t>
              </m:r>
              <m:r>
                <m:t>n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d</m:t>
              </m:r>
              <m:r>
                <m:t>e</m:t>
              </m:r>
              <m:r>
                <m:t>l</m:t>
              </m:r>
              <m:r>
                <m:t>e</m:t>
              </m:r>
              <m:r>
                <m:t>v</m:t>
              </m:r>
              <m:r>
                <m:t>a</m:t>
              </m:r>
              <m:r>
                <m:t>t</m:t>
              </m:r>
              <m:r>
                <m:t>e</m:t>
              </m:r>
              <m:r>
                <m:t>d</m:t>
              </m:r>
              <m:r>
                <m:t>c</m:t>
              </m:r>
              <m:r>
                <m:t>a</m:t>
              </m:r>
              <m:r>
                <m:t>p</m:t>
              </m:r>
              <m:r>
                <m:t>e</m:t>
              </m:r>
              <m:r>
                <m:t>x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1.50B versus $1.50B consensus leaves cash-conversion concerns unresolved, driving out-period estimate revisions lower.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2026-07-29T00:38:11Z</dcterms:created>
  <dcterms:modified xsi:type="dcterms:W3CDTF">2026-07-29T00:38:11Z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