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flex-fy27-q1-earnings-preview"/>
    <w:p>
      <w:pPr>
        <w:pStyle w:val="Heading1"/>
      </w:pPr>
      <w:r>
        <w:t xml:space="preserve">FLEX FY27 Q1 Earnings Preview</w:t>
      </w:r>
    </w:p>
    <w:p>
      <w:pPr>
        <w:pStyle w:val="BlockText"/>
      </w:pPr>
      <w:r>
        <w:rPr>
          <w:b/>
          <w:bCs/>
        </w:rPr>
        <w:t xml:space="preserve">Timing note:</w:t>
      </w:r>
      <w:r>
        <w:t xml:space="preserve"> </w:t>
      </w:r>
      <w:r>
        <w:t xml:space="preserve">Flex is scheduled to release fiscal Q1 2027 results</w:t>
      </w:r>
      <w:r>
        <w:t xml:space="preserve"> </w:t>
      </w:r>
      <w:r>
        <w:rPr>
          <w:b/>
          <w:bCs/>
        </w:rPr>
        <w:t xml:space="preserve">before the U.S. market opens on Wednesday, July 29, 2026</w:t>
      </w:r>
      <w:r>
        <w:t xml:space="preserve">, followed by its earnings call at</w:t>
      </w:r>
      <w:r>
        <w:t xml:space="preserve"> </w:t>
      </w:r>
      <w:r>
        <w:rPr>
          <w:b/>
          <w:bCs/>
        </w:rPr>
        <w:t xml:space="preserve">8:30 a.m. ET</w:t>
      </w:r>
      <w:r>
        <w:t xml:space="preserve">. In other words, based on Flex’s stated schedule, the report is</w:t>
      </w:r>
      <w:r>
        <w:t xml:space="preserve"> </w:t>
      </w:r>
      <w:r>
        <w:rPr>
          <w:b/>
          <w:bCs/>
        </w:rPr>
        <w:t xml:space="preserve">today—not tomorrow</w:t>
      </w:r>
      <w:r>
        <w:t xml:space="preserve">. (</w:t>
      </w:r>
      <w:hyperlink r:id="rId9">
        <w:r>
          <w:rPr>
            <w:rStyle w:val="Hyperlink"/>
          </w:rPr>
          <w:t xml:space="preserve">investors.flex.com</w:t>
        </w:r>
      </w:hyperlink>
      <w:r>
        <w:t xml:space="preserve">)</w:t>
      </w:r>
    </w:p>
    <w:bookmarkStart w:id="10" w:name="X6d6c81f005edfc3ba0e8f2f94a300c0cc73d4f5"/>
    <w:p>
      <w:pPr>
        <w:pStyle w:val="Heading2"/>
      </w:pPr>
      <w:r>
        <w:t xml:space="preserve">Investment view: this is a CPI execution and guidance-validation quarter</w:t>
      </w:r>
    </w:p>
    <w:p>
      <w:pPr>
        <w:pStyle w:val="FirstParagraph"/>
      </w:pPr>
      <w:r>
        <w:t xml:space="preserve">Flex enters the print with a fundamentally transformed narrative. The core question is no longer simply whether the company can deliver modest manufacturing growth and margin expansion. It is whether</w:t>
      </w:r>
      <w:r>
        <w:t xml:space="preserve"> </w:t>
      </w:r>
      <w:r>
        <w:rPr>
          <w:b/>
          <w:bCs/>
        </w:rPr>
        <w:t xml:space="preserve">Cloud and Power Infrastructure (CPI)</w:t>
      </w:r>
      <w:r>
        <w:t xml:space="preserve"> </w:t>
      </w:r>
      <w:r>
        <w:t xml:space="preserve">can execute on an unusually large AI/data-center ramp while Flex funds the buildout, preserves margins, and advances the planned separation of CPI into a standalone company.</w:t>
      </w:r>
    </w:p>
    <w:p>
      <w:pPr>
        <w:pStyle w:val="BodyText"/>
      </w:pPr>
      <w:r>
        <w:t xml:space="preserve">The setup appears demanding. FLEX closed at</w:t>
      </w:r>
      <w:r>
        <w:t xml:space="preserve"> </w:t>
      </w:r>
      <w:r>
        <w:rPr>
          <w:b/>
          <w:bCs/>
        </w:rPr>
        <w:t xml:space="preserve">$113.31 on July 28</w:t>
      </w:r>
      <w:r>
        <w:t xml:space="preserve">, up roughly</w:t>
      </w:r>
      <w:r>
        <w:t xml:space="preserve"> </w:t>
      </w:r>
      <w:r>
        <w:rPr>
          <w:b/>
          <w:bCs/>
        </w:rPr>
        <w:t xml:space="preserve">78% year to date</w:t>
      </w:r>
      <w:r>
        <w:t xml:space="preserve">, but about</w:t>
      </w:r>
      <w:r>
        <w:t xml:space="preserve"> </w:t>
      </w:r>
      <w:r>
        <w:rPr>
          <w:b/>
          <w:bCs/>
        </w:rPr>
        <w:t xml:space="preserve">30% below</w:t>
      </w:r>
      <w:r>
        <w:t xml:space="preserve"> </w:t>
      </w:r>
      <w:r>
        <w:t xml:space="preserve">its June 30 closing high of $162.07. That price action suggests investors remain constructive on the AI-infrastructure opportunity, while becoming more sensitive to execution risks, capital intensity, and whether the very aggressive CPI outlook is truly de-risked.</w:t>
      </w:r>
    </w:p>
    <w:p>
      <w:pPr>
        <w:pStyle w:val="BodyText"/>
      </w:pPr>
      <w:r>
        <w:rPr>
          <w:b/>
          <w:bCs/>
        </w:rPr>
        <w:t xml:space="preserve">Bottom line:</w:t>
      </w:r>
      <w:r>
        <w:t xml:space="preserve"> </w:t>
      </w:r>
      <w:r>
        <w:t xml:space="preserve">A routine in-line quarter may not be enough. Investors likely need to see (1) a clean first-quarter result, (2) confidence in the back-half CPI acceleration embedded in the full-year outlook, (3) evidence that investment spending is controlled and temporary, and (4) tangible progress toward the fiscal 2027/early-calendar-2027 spin.</w:t>
      </w:r>
    </w:p>
    <w:p>
      <w:r>
        <w:pict>
          <v:rect style="width:0;height:1.5pt" o:hralign="center" o:hrstd="t" o:hr="t"/>
        </w:pict>
      </w:r>
    </w:p>
    <w:bookmarkEnd w:id="10"/>
    <w:bookmarkStart w:id="12" w:name="the-benchmark-company-guidance"/>
    <w:p>
      <w:pPr>
        <w:pStyle w:val="Heading2"/>
      </w:pPr>
      <w:r>
        <w:t xml:space="preserve">The benchmark: company guidance</w:t>
      </w:r>
    </w:p>
    <w:p>
      <w:pPr>
        <w:pStyle w:val="FirstParagraph"/>
      </w:pPr>
      <w:r>
        <w:t xml:space="preserve">Flex’s May outlook for fiscal Q1 2027 calls for: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Q1 FY27 company guidance</w:t>
            </w:r>
          </w:p>
        </w:tc>
        <w:tc>
          <w:tcPr/>
          <w:p>
            <w:pPr>
              <w:pStyle w:val="Compact"/>
              <w:jc w:val="right"/>
            </w:pPr>
            <w:r>
              <w:t xml:space="preserve">Midpoint</w:t>
            </w:r>
          </w:p>
        </w:tc>
      </w:tr>
      <w:tr>
        <w:tc>
          <w:tcPr/>
          <w:p>
            <w:pPr>
              <w:pStyle w:val="Compact"/>
            </w:pPr>
            <w:r>
              <w:t xml:space="preserve">Revenue</w:t>
            </w:r>
          </w:p>
        </w:tc>
        <w:tc>
          <w:tcPr/>
          <w:p>
            <w:pPr>
              <w:pStyle w:val="Compact"/>
              <w:jc w:val="right"/>
            </w:pPr>
            <m:oMath>
              <m:r>
                <m:t>7.35</m:t>
              </m:r>
              <m:r>
                <m:t>B</m:t>
              </m:r>
              <m:r>
                <m:rPr>
                  <m:sty m:val="p"/>
                </m:rPr>
                <m:t>–</m:t>
              </m:r>
            </m:oMath>
            <w:r>
              <w:t xml:space="preserve">7.65B</w:t>
            </w:r>
          </w:p>
        </w:tc>
        <w:tc>
          <w:tcPr/>
          <w:p>
            <w:pPr>
              <w:pStyle w:val="Compact"/>
              <w:jc w:val="right"/>
            </w:pPr>
            <w:r>
              <w:rPr>
                <w:b/>
                <w:bCs/>
              </w:rPr>
              <w:t xml:space="preserve">$7.50B</w:t>
            </w:r>
          </w:p>
        </w:tc>
      </w:tr>
      <w:tr>
        <w:tc>
          <w:tcPr/>
          <w:p>
            <w:pPr>
              <w:pStyle w:val="Compact"/>
            </w:pPr>
            <w:r>
              <w:t xml:space="preserve">Adjusted operating income</w:t>
            </w:r>
          </w:p>
        </w:tc>
        <w:tc>
          <w:tcPr/>
          <w:p>
            <w:pPr>
              <w:pStyle w:val="Compact"/>
              <w:jc w:val="right"/>
            </w:pPr>
            <m:oMath>
              <m:r>
                <m:t>469</m:t>
              </m:r>
              <m:r>
                <m:t>M</m:t>
              </m:r>
              <m:r>
                <m:rPr>
                  <m:sty m:val="p"/>
                </m:rPr>
                <m:t>–</m:t>
              </m:r>
            </m:oMath>
            <w:r>
              <w:t xml:space="preserve">499M</w:t>
            </w:r>
          </w:p>
        </w:tc>
        <w:tc>
          <w:tcPr/>
          <w:p>
            <w:pPr>
              <w:pStyle w:val="Compact"/>
              <w:jc w:val="right"/>
            </w:pPr>
            <w:r>
              <w:rPr>
                <w:b/>
                <w:bCs/>
              </w:rPr>
              <w:t xml:space="preserve">$484M</w:t>
            </w:r>
          </w:p>
        </w:tc>
      </w:tr>
      <w:tr>
        <w:tc>
          <w:tcPr/>
          <w:p>
            <w:pPr>
              <w:pStyle w:val="Compact"/>
            </w:pPr>
            <w:r>
              <w:t xml:space="preserve">Adjusted EPS</w:t>
            </w:r>
          </w:p>
        </w:tc>
        <w:tc>
          <w:tcPr/>
          <w:p>
            <w:pPr>
              <w:pStyle w:val="Compact"/>
              <w:jc w:val="right"/>
            </w:pPr>
            <m:oMath>
              <m:r>
                <m:t>0.86</m:t>
              </m:r>
              <m:r>
                <m:rPr>
                  <m:sty m:val="p"/>
                </m:rPr>
                <m:t>–</m:t>
              </m:r>
            </m:oMath>
            <w:r>
              <w:t xml:space="preserve">0.92</w:t>
            </w:r>
          </w:p>
        </w:tc>
        <w:tc>
          <w:tcPr/>
          <w:p>
            <w:pPr>
              <w:pStyle w:val="Compact"/>
              <w:jc w:val="right"/>
            </w:pPr>
            <w:r>
              <w:rPr>
                <w:b/>
                <w:bCs/>
              </w:rPr>
              <w:t xml:space="preserve">$0.89</w:t>
            </w:r>
          </w:p>
        </w:tc>
      </w:tr>
      <w:tr>
        <w:tc>
          <w:tcPr/>
          <w:p>
            <w:pPr>
              <w:pStyle w:val="Compact"/>
            </w:pPr>
            <w:r>
              <w:t xml:space="preserve">Adjusted operating margin, implied</w:t>
            </w:r>
          </w:p>
        </w:tc>
        <w:tc>
          <w:tcPr/>
          <w:p>
            <w:pPr>
              <w:pStyle w:val="Compact"/>
              <w:jc w:val="right"/>
            </w:pPr>
            <w:r>
              <w:t xml:space="preserve">—</w:t>
            </w:r>
          </w:p>
        </w:tc>
        <w:tc>
          <w:tcPr/>
          <w:p>
            <w:pPr>
              <w:pStyle w:val="Compact"/>
              <w:jc w:val="right"/>
            </w:pPr>
            <w:r>
              <w:rPr>
                <w:b/>
                <w:bCs/>
              </w:rPr>
              <w:t xml:space="preserve">6.45%</w:t>
            </w:r>
          </w:p>
        </w:tc>
      </w:tr>
      <w:tr>
        <w:tc>
          <w:tcPr/>
          <w:p>
            <w:pPr>
              <w:pStyle w:val="Compact"/>
            </w:pPr>
            <w:r>
              <w:t xml:space="preserve">Interest &amp; other expense</w:t>
            </w:r>
          </w:p>
        </w:tc>
        <w:tc>
          <w:tcPr/>
          <w:p>
            <w:pPr>
              <w:pStyle w:val="Compact"/>
              <w:jc w:val="right"/>
            </w:pPr>
            <w:r>
              <w:t xml:space="preserve">~ $65M</w:t>
            </w:r>
          </w:p>
        </w:tc>
        <w:tc>
          <w:tcPr/>
          <w:p>
            <w:pPr>
              <w:pStyle w:val="Compact"/>
              <w:jc w:val="right"/>
            </w:pPr>
            <w:r>
              <w:t xml:space="preserve">—</w:t>
            </w:r>
          </w:p>
        </w:tc>
      </w:tr>
      <w:tr>
        <w:tc>
          <w:tcPr/>
          <w:p>
            <w:pPr>
              <w:pStyle w:val="Compact"/>
            </w:pPr>
            <w:r>
              <w:t xml:space="preserve">Adjusted tax rate</w:t>
            </w:r>
          </w:p>
        </w:tc>
        <w:tc>
          <w:tcPr/>
          <w:p>
            <w:pPr>
              <w:pStyle w:val="Compact"/>
              <w:jc w:val="right"/>
            </w:pPr>
            <w:r>
              <w:t xml:space="preserve">~21%</w:t>
            </w:r>
          </w:p>
        </w:tc>
        <w:tc>
          <w:tcPr/>
          <w:p>
            <w:pPr>
              <w:pStyle w:val="Compact"/>
              <w:jc w:val="right"/>
            </w:pPr>
            <w:r>
              <w:t xml:space="preserve">—</w:t>
            </w:r>
          </w:p>
        </w:tc>
      </w:tr>
    </w:tbl>
    <w:p>
      <w:pPr>
        <w:pStyle w:val="BodyText"/>
      </w:pPr>
      <w:r>
        <w:t xml:space="preserve">At the midpoint, the guide implies</w:t>
      </w:r>
      <w:r>
        <w:t xml:space="preserve"> </w:t>
      </w:r>
      <w:r>
        <w:rPr>
          <w:b/>
          <w:bCs/>
        </w:rPr>
        <w:t xml:space="preserve">14% revenue growth</w:t>
      </w:r>
      <w:r>
        <w:t xml:space="preserve"> </w:t>
      </w:r>
      <w:r>
        <w:t xml:space="preserve">and</w:t>
      </w:r>
      <w:r>
        <w:t xml:space="preserve"> </w:t>
      </w:r>
      <w:r>
        <w:rPr>
          <w:b/>
          <w:bCs/>
        </w:rPr>
        <w:t xml:space="preserve">24% adjusted EPS growth</w:t>
      </w:r>
      <w:r>
        <w:t xml:space="preserve"> </w:t>
      </w:r>
      <w:r>
        <w:t xml:space="preserve">year over year. (</w:t>
      </w:r>
      <w:hyperlink r:id="rId11">
        <w:r>
          <w:rPr>
            <w:rStyle w:val="Hyperlink"/>
          </w:rPr>
          <w:t xml:space="preserve">investors.flex.com</w:t>
        </w:r>
      </w:hyperlink>
      <w:r>
        <w:t xml:space="preserve">)</w:t>
      </w:r>
    </w:p>
    <w:p>
      <w:pPr>
        <w:pStyle w:val="BodyText"/>
      </w:pPr>
      <w:r>
        <w:t xml:space="preserve">The more consequential benchmark is the full-year FY27 outlook:</w:t>
      </w:r>
    </w:p>
    <w:p>
      <w:pPr>
        <w:pStyle w:val="Compact"/>
        <w:numPr>
          <w:ilvl w:val="0"/>
          <w:numId w:val="1001"/>
        </w:numPr>
      </w:pPr>
      <w:r>
        <w:rPr>
          <w:b/>
          <w:bCs/>
        </w:rPr>
        <w:t xml:space="preserve">Revenue:</w:t>
      </w:r>
      <w:r>
        <w:t xml:space="preserve"> </w:t>
      </w:r>
      <m:oMath>
        <m:r>
          <m:t>32.3</m:t>
        </m:r>
        <m:r>
          <m:t>B</m:t>
        </m:r>
        <m:r>
          <m:rPr>
            <m:sty m:val="p"/>
          </m:rPr>
          <m:t>–</m:t>
        </m:r>
      </m:oMath>
      <w:r>
        <w:t xml:space="preserve">33.8B, or</w:t>
      </w:r>
      <w:r>
        <w:t xml:space="preserve"> </w:t>
      </w:r>
      <w:r>
        <w:rPr>
          <w:b/>
          <w:bCs/>
        </w:rPr>
        <w:t xml:space="preserve">18% growth at midpoint</w:t>
      </w:r>
    </w:p>
    <w:p>
      <w:pPr>
        <w:pStyle w:val="Compact"/>
        <w:numPr>
          <w:ilvl w:val="0"/>
          <w:numId w:val="1001"/>
        </w:numPr>
      </w:pPr>
      <w:r>
        <w:rPr>
          <w:b/>
          <w:bCs/>
        </w:rPr>
        <w:t xml:space="preserve">Adjusted operating margin:</w:t>
      </w:r>
      <w:r>
        <w:t xml:space="preserve"> </w:t>
      </w:r>
      <w:r>
        <w:rPr>
          <w:b/>
          <w:bCs/>
        </w:rPr>
        <w:t xml:space="preserve">7.0%–7.1%</w:t>
      </w:r>
    </w:p>
    <w:p>
      <w:pPr>
        <w:pStyle w:val="Compact"/>
        <w:numPr>
          <w:ilvl w:val="0"/>
          <w:numId w:val="1001"/>
        </w:numPr>
      </w:pPr>
      <w:r>
        <w:rPr>
          <w:b/>
          <w:bCs/>
        </w:rPr>
        <w:t xml:space="preserve">Adjusted EPS:</w:t>
      </w:r>
      <w:r>
        <w:t xml:space="preserve"> </w:t>
      </w:r>
      <m:oMath>
        <m:r>
          <m:t>4.21</m:t>
        </m:r>
        <m:r>
          <m:rPr>
            <m:sty m:val="p"/>
          </m:rPr>
          <m:t>–</m:t>
        </m:r>
      </m:oMath>
      <w:r>
        <w:t xml:space="preserve">4.51, or</w:t>
      </w:r>
      <w:r>
        <w:t xml:space="preserve"> </w:t>
      </w:r>
      <w:r>
        <w:rPr>
          <w:b/>
          <w:bCs/>
        </w:rPr>
        <w:t xml:space="preserve">32% growth at midpoint</w:t>
      </w:r>
    </w:p>
    <w:p>
      <w:pPr>
        <w:pStyle w:val="Compact"/>
        <w:numPr>
          <w:ilvl w:val="0"/>
          <w:numId w:val="1001"/>
        </w:numPr>
      </w:pPr>
      <w:r>
        <w:rPr>
          <w:b/>
          <w:bCs/>
        </w:rPr>
        <w:t xml:space="preserve">Capex:</w:t>
      </w:r>
      <w:r>
        <w:t xml:space="preserve"> </w:t>
      </w:r>
      <m:oMath>
        <m:r>
          <m:t>1.4</m:t>
        </m:r>
        <m:r>
          <m:t>B</m:t>
        </m:r>
        <m:r>
          <m:rPr>
            <m:sty m:val="p"/>
          </m:rPr>
          <m:t>–</m:t>
        </m:r>
      </m:oMath>
      <w:r>
        <w:rPr>
          <w:b/>
          <w:bCs/>
        </w:rPr>
        <w:t xml:space="preserve">1.6B</w:t>
      </w:r>
    </w:p>
    <w:p>
      <w:pPr>
        <w:pStyle w:val="Compact"/>
        <w:numPr>
          <w:ilvl w:val="0"/>
          <w:numId w:val="1001"/>
        </w:numPr>
      </w:pPr>
      <w:r>
        <w:rPr>
          <w:b/>
          <w:bCs/>
        </w:rPr>
        <w:t xml:space="preserve">Free-cash-flow conversion:</w:t>
      </w:r>
      <w:r>
        <w:t xml:space="preserve"> </w:t>
      </w:r>
      <w:r>
        <w:t xml:space="preserve">approximately</w:t>
      </w:r>
      <w:r>
        <w:t xml:space="preserve"> </w:t>
      </w:r>
      <w:r>
        <w:rPr>
          <w:b/>
          <w:bCs/>
        </w:rPr>
        <w:t xml:space="preserve">60%</w:t>
      </w:r>
      <w:r>
        <w:t xml:space="preserve">, excluding spin-related costs. (</w:t>
      </w:r>
      <w:hyperlink r:id="rId11">
        <w:r>
          <w:rPr>
            <w:rStyle w:val="Hyperlink"/>
          </w:rPr>
          <w:t xml:space="preserve">investors.flex.com</w:t>
        </w:r>
      </w:hyperlink>
      <w:r>
        <w:t xml:space="preserve">)</w:t>
      </w:r>
    </w:p>
    <w:p>
      <w:pPr>
        <w:pStyle w:val="FirstParagraph"/>
      </w:pPr>
      <w:r>
        <w:t xml:space="preserve">That guidance is ambitious because it requires not just demand, but a substantial ramp in physical capacity, supply chain execution, labor, customer qualification, and cash conversion.</w:t>
      </w:r>
    </w:p>
    <w:p>
      <w:r>
        <w:pict>
          <v:rect style="width:0;height:1.5pt" o:hralign="center" o:hrstd="t" o:hr="t"/>
        </w:pict>
      </w:r>
    </w:p>
    <w:bookmarkEnd w:id="12"/>
    <w:bookmarkStart w:id="13" w:name="why-cpi-is-the-central-variable"/>
    <w:p>
      <w:pPr>
        <w:pStyle w:val="Heading2"/>
      </w:pPr>
      <w:r>
        <w:t xml:space="preserve">Why CPI is the central variable</w:t>
      </w:r>
    </w:p>
    <w:p>
      <w:pPr>
        <w:pStyle w:val="FirstParagraph"/>
      </w:pPr>
      <w:r>
        <w:t xml:space="preserve">In fiscal Q4 2026, CPI generated</w:t>
      </w:r>
      <w:r>
        <w:t xml:space="preserve"> </w:t>
      </w:r>
      <m:oMath>
        <m:r>
          <m:t>1.8</m:t>
        </m:r>
        <m:r>
          <m:t>b</m:t>
        </m:r>
        <m:r>
          <m:t>i</m:t>
        </m:r>
        <m:r>
          <m:t>l</m:t>
        </m:r>
        <m:r>
          <m:t>l</m:t>
        </m:r>
        <m:r>
          <m:t>i</m:t>
        </m:r>
        <m:r>
          <m:t>o</m:t>
        </m:r>
        <m:r>
          <m:t>n</m:t>
        </m:r>
        <m:r>
          <m:t>o</m:t>
        </m:r>
        <m:r>
          <m:t>f</m:t>
        </m:r>
        <m:r>
          <m:t>r</m:t>
        </m:r>
        <m:r>
          <m:t>e</m:t>
        </m:r>
        <m:r>
          <m:t>v</m:t>
        </m:r>
        <m:r>
          <m:t>e</m:t>
        </m:r>
        <m:r>
          <m:t>n</m:t>
        </m:r>
        <m:r>
          <m:t>u</m:t>
        </m:r>
        <m:r>
          <m:t>e</m:t>
        </m:r>
        <m:r>
          <m:rPr>
            <m:sty m:val="p"/>
          </m:rPr>
          <m:t>*</m:t>
        </m:r>
        <m:r>
          <m:rPr>
            <m:sty m:val="p"/>
          </m:rPr>
          <m:t>*</m:t>
        </m:r>
        <m:r>
          <m:rPr>
            <m:sty m:val="p"/>
          </m:rPr>
          <m:t>,</m:t>
        </m:r>
        <m:r>
          <m:t>u</m:t>
        </m:r>
        <m:r>
          <m:t>p</m:t>
        </m:r>
        <m:r>
          <m:rPr>
            <m:sty m:val="p"/>
          </m:rPr>
          <m:t>*</m:t>
        </m:r>
        <m:r>
          <m:rPr>
            <m:sty m:val="p"/>
          </m:rPr>
          <m:t>*</m:t>
        </m:r>
        <m:r>
          <m:t>31</m:t>
        </m:r>
      </m:oMath>
      <w:r>
        <w:rPr>
          <w:b/>
          <w:bCs/>
        </w:rPr>
        <w:t xml:space="preserve">6.6 billion</w:t>
      </w:r>
      <w:r>
        <w:t xml:space="preserve">, up</w:t>
      </w:r>
      <w:r>
        <w:t xml:space="preserve"> </w:t>
      </w:r>
      <w:r>
        <w:rPr>
          <w:b/>
          <w:bCs/>
        </w:rPr>
        <w:t xml:space="preserve">38%</w:t>
      </w:r>
      <w:r>
        <w:t xml:space="preserve">, while adjusted operating margin was</w:t>
      </w:r>
      <w:r>
        <w:t xml:space="preserve"> </w:t>
      </w:r>
      <w:r>
        <w:rPr>
          <w:b/>
          <w:bCs/>
        </w:rPr>
        <w:t xml:space="preserve">9.2%</w:t>
      </w:r>
      <w:r>
        <w:t xml:space="preserve">. Management attributed the margin pressure versus the prior year largely to upfront infrastructure spending in critical power and cloud-ramp costs.</w:t>
      </w:r>
    </w:p>
    <w:p>
      <w:pPr>
        <w:pStyle w:val="BodyText"/>
      </w:pPr>
      <w:r>
        <w:t xml:space="preserve">For FY27, Flex has guided CPI to</w:t>
      </w:r>
      <w:r>
        <w:t xml:space="preserve"> </w:t>
      </w:r>
      <w:r>
        <w:rPr>
          <w:b/>
          <w:bCs/>
        </w:rPr>
        <w:t xml:space="preserve">65%–75% growth</w:t>
      </w:r>
      <w:r>
        <w:t xml:space="preserve">, with acceleration to</w:t>
      </w:r>
      <w:r>
        <w:t xml:space="preserve"> </w:t>
      </w:r>
      <w:r>
        <w:rPr>
          <w:b/>
          <w:bCs/>
        </w:rPr>
        <w:t xml:space="preserve">more than 80% growth in FY28</w:t>
      </w:r>
      <w:r>
        <w:t xml:space="preserve">. Management has also indicated that Q1 CPI growth would be only</w:t>
      </w:r>
      <w:r>
        <w:t xml:space="preserve"> </w:t>
      </w:r>
      <w:r>
        <w:rPr>
          <w:b/>
          <w:bCs/>
        </w:rPr>
        <w:t xml:space="preserve">20%–30%</w:t>
      </w:r>
      <w:r>
        <w:t xml:space="preserve">, with a more material acceleration in the second half as recently won programs ramp.</w:t>
      </w:r>
    </w:p>
    <w:p>
      <w:pPr>
        <w:pStyle w:val="BodyText"/>
      </w:pPr>
      <w:r>
        <w:t xml:space="preserve">That makes this quarter unusually nuanced:</w:t>
      </w:r>
    </w:p>
    <w:p>
      <w:pPr>
        <w:pStyle w:val="Compact"/>
        <w:numPr>
          <w:ilvl w:val="0"/>
          <w:numId w:val="1002"/>
        </w:numPr>
      </w:pPr>
      <w:r>
        <w:rPr>
          <w:b/>
          <w:bCs/>
        </w:rPr>
        <w:t xml:space="preserve">A 20%–30% CPI growth rate in Q1 is not, by itself, a disappointment</w:t>
      </w:r>
      <w:r>
        <w:t xml:space="preserve">; it is consistent with management’s cadence.</w:t>
      </w:r>
    </w:p>
    <w:p>
      <w:pPr>
        <w:pStyle w:val="Compact"/>
        <w:numPr>
          <w:ilvl w:val="0"/>
          <w:numId w:val="1002"/>
        </w:numPr>
      </w:pPr>
      <w:r>
        <w:t xml:space="preserve">However, the market will want evidence that the second-half ramp is operationally prepared—not merely supported by customer demand.</w:t>
      </w:r>
    </w:p>
    <w:p>
      <w:pPr>
        <w:pStyle w:val="Compact"/>
        <w:numPr>
          <w:ilvl w:val="0"/>
          <w:numId w:val="1002"/>
        </w:numPr>
      </w:pPr>
      <w:r>
        <w:t xml:space="preserve">The most important signals will be capacity additions, program-launch timing, backlog visibility, supply availability, and any change in expected capex or free-cash-flow conversion.</w:t>
      </w:r>
    </w:p>
    <w:p>
      <w:pPr>
        <w:pStyle w:val="FirstParagraph"/>
      </w:pPr>
      <w:r>
        <w:t xml:space="preserve">The strategic premise is compelling. CPI combines cloud infrastructure, power distribution, thermal management, and integrated systems for AI data centers and other critical infrastructure. Flex has cited substantial incremental business with hyperscalers—including Google—as well as other data-center customers. But the higher the growth forecast, the greater the risk that project timing, customer deployment schedules, or factory ramps produce volatility quarter to quarter. (</w:t>
      </w:r>
      <w:hyperlink r:id="rId11">
        <w:r>
          <w:rPr>
            <w:rStyle w:val="Hyperlink"/>
          </w:rPr>
          <w:t xml:space="preserve">investors.flex.com</w:t>
        </w:r>
      </w:hyperlink>
      <w:r>
        <w:t xml:space="preserve">)</w:t>
      </w:r>
    </w:p>
    <w:p>
      <w:r>
        <w:pict>
          <v:rect style="width:0;height:1.5pt" o:hralign="center" o:hrstd="t" o:hr="t"/>
        </w:pict>
      </w:r>
    </w:p>
    <w:bookmarkEnd w:id="13"/>
    <w:bookmarkStart w:id="15" w:name="Xd7a85d4982eeb13c74051c07aa74ff9b30bd63b"/>
    <w:p>
      <w:pPr>
        <w:pStyle w:val="Heading2"/>
      </w:pPr>
      <w:r>
        <w:t xml:space="preserve">The spin-off is a catalyst—but also a source of complexity</w:t>
      </w:r>
    </w:p>
    <w:p>
      <w:pPr>
        <w:pStyle w:val="FirstParagraph"/>
      </w:pPr>
      <w:r>
        <w:t xml:space="preserve">In May, Flex announced plans to spin off CPI into a separate, publicly traded company, targeted for</w:t>
      </w:r>
      <w:r>
        <w:t xml:space="preserve"> </w:t>
      </w:r>
      <w:r>
        <w:rPr>
          <w:b/>
          <w:bCs/>
        </w:rPr>
        <w:t xml:space="preserve">the first quarter of calendar 2027</w:t>
      </w:r>
      <w:r>
        <w:t xml:space="preserve">. CEO Revathi Advaithi is expected to lead SpinCo, while Michael Hartung is slated to become CEO of the remaining Flex business. The transaction is intended to be tax-free to shareholders. (</w:t>
      </w:r>
      <w:hyperlink r:id="rId14">
        <w:r>
          <w:rPr>
            <w:rStyle w:val="Hyperlink"/>
          </w:rPr>
          <w:t xml:space="preserve">investors.flex.com</w:t>
        </w:r>
      </w:hyperlink>
      <w:r>
        <w:t xml:space="preserve">)</w:t>
      </w:r>
    </w:p>
    <w:p>
      <w:pPr>
        <w:pStyle w:val="BodyText"/>
      </w:pPr>
      <w:r>
        <w:t xml:space="preserve">For this print, investors should focus on four spin-related topics:</w:t>
      </w:r>
    </w:p>
    <w:p>
      <w:pPr>
        <w:numPr>
          <w:ilvl w:val="0"/>
          <w:numId w:val="1003"/>
        </w:numPr>
      </w:pPr>
      <w:r>
        <w:rPr>
          <w:b/>
          <w:bCs/>
        </w:rPr>
        <w:t xml:space="preserve">Timeline and milestones</w:t>
      </w:r>
      <w:r>
        <w:br/>
      </w:r>
      <w:r>
        <w:t xml:space="preserve">Any confirmation of the targeted completion window—or details on filings, financing, governance, management appointments, or separation readiness—would reduce uncertainty.</w:t>
      </w:r>
    </w:p>
    <w:p>
      <w:pPr>
        <w:numPr>
          <w:ilvl w:val="0"/>
          <w:numId w:val="1003"/>
        </w:numPr>
      </w:pPr>
      <w:r>
        <w:rPr>
          <w:b/>
          <w:bCs/>
        </w:rPr>
        <w:t xml:space="preserve">Standalone financial disclosure</w:t>
      </w:r>
      <w:r>
        <w:br/>
      </w:r>
      <w:r>
        <w:t xml:space="preserve">CPI is already reported as a segment, but more detail on its revenue mix, margins, working capital, capex, customer concentration, and capital structure would be valuable for valuation.</w:t>
      </w:r>
    </w:p>
    <w:p>
      <w:pPr>
        <w:numPr>
          <w:ilvl w:val="0"/>
          <w:numId w:val="1003"/>
        </w:numPr>
      </w:pPr>
      <w:r>
        <w:rPr>
          <w:b/>
          <w:bCs/>
        </w:rPr>
        <w:t xml:space="preserve">Capital allocation</w:t>
      </w:r>
      <w:r>
        <w:br/>
      </w:r>
      <w:r>
        <w:t xml:space="preserve">The primary tension is clear: CPI needs investment to capture a rare growth opportunity, while the legacy manufacturing business is expected to remain a strong cash generator. Investors will want to know how debt, cash, capex, and share repurchases will be allocated between the entities.</w:t>
      </w:r>
    </w:p>
    <w:p>
      <w:pPr>
        <w:numPr>
          <w:ilvl w:val="0"/>
          <w:numId w:val="1003"/>
        </w:numPr>
      </w:pPr>
      <w:r>
        <w:rPr>
          <w:b/>
          <w:bCs/>
        </w:rPr>
        <w:t xml:space="preserve">Dis-synergies and transaction costs</w:t>
      </w:r>
      <w:r>
        <w:br/>
      </w:r>
      <w:r>
        <w:t xml:space="preserve">Management has characterized FY27 free-cash-flow conversion excluding spin costs. The market will need a better view of the all-in separation-cost burden and the duration of stranded-cost mitigation.</w:t>
      </w:r>
    </w:p>
    <w:p>
      <w:pPr>
        <w:pStyle w:val="FirstParagraph"/>
      </w:pPr>
      <w:r>
        <w:t xml:space="preserve">The spin could unlock a higher valuation for CPI, but until the transaction structure and standalone economics are clearer, it also complicates modeling.</w:t>
      </w:r>
    </w:p>
    <w:p>
      <w:r>
        <w:pict>
          <v:rect style="width:0;height:1.5pt" o:hralign="center" o:hrstd="t" o:hr="t"/>
        </w:pict>
      </w:r>
    </w:p>
    <w:bookmarkEnd w:id="15"/>
    <w:bookmarkStart w:id="16" w:name="Xf7d58470e848cc69549aebc235baaa0961f545f"/>
    <w:p>
      <w:pPr>
        <w:pStyle w:val="Heading2"/>
      </w:pPr>
      <w:r>
        <w:t xml:space="preserve">The remaining Flex business still matters</w:t>
      </w:r>
    </w:p>
    <w:p>
      <w:pPr>
        <w:pStyle w:val="FirstParagraph"/>
      </w:pPr>
      <w:r>
        <w:t xml:space="preserve">Post-spin Flex will consist primarily of</w:t>
      </w:r>
      <w:r>
        <w:t xml:space="preserve"> </w:t>
      </w:r>
      <w:r>
        <w:rPr>
          <w:b/>
          <w:bCs/>
        </w:rPr>
        <w:t xml:space="preserve">Regulated Manufacturing Solutions (RMS)</w:t>
      </w:r>
      <w:r>
        <w:t xml:space="preserve"> </w:t>
      </w:r>
      <w:r>
        <w:t xml:space="preserve">and</w:t>
      </w:r>
      <w:r>
        <w:t xml:space="preserve"> </w:t>
      </w:r>
      <w:r>
        <w:rPr>
          <w:b/>
          <w:bCs/>
        </w:rPr>
        <w:t xml:space="preserve">Integrated Technology Solutions (ITS)</w:t>
      </w:r>
      <w:r>
        <w:t xml:space="preserve">, with exposure to health care, industrial, automotive, communications, and lifestyle markets.</w:t>
      </w:r>
    </w:p>
    <w:p>
      <w:pPr>
        <w:pStyle w:val="BodyText"/>
      </w:pPr>
      <w:r>
        <w:t xml:space="preserve">The operating backdrop heading into FY27 is constructive but mixed:</w:t>
      </w:r>
    </w:p>
    <w:p>
      <w:pPr>
        <w:pStyle w:val="Compact"/>
        <w:numPr>
          <w:ilvl w:val="0"/>
          <w:numId w:val="1004"/>
        </w:numPr>
      </w:pPr>
      <w:r>
        <w:rPr>
          <w:b/>
          <w:bCs/>
        </w:rPr>
        <w:t xml:space="preserve">RMS:</w:t>
      </w:r>
      <w:r>
        <w:t xml:space="preserve"> </w:t>
      </w:r>
      <w:r>
        <w:t xml:space="preserve">Expected to grow low-to-mid single digits for FY27, with industrial and health care supporting growth while automotive stabilizes.</w:t>
      </w:r>
    </w:p>
    <w:p>
      <w:pPr>
        <w:pStyle w:val="Compact"/>
        <w:numPr>
          <w:ilvl w:val="0"/>
          <w:numId w:val="1004"/>
        </w:numPr>
      </w:pPr>
      <w:r>
        <w:rPr>
          <w:b/>
          <w:bCs/>
        </w:rPr>
        <w:t xml:space="preserve">ITS:</w:t>
      </w:r>
      <w:r>
        <w:t xml:space="preserve"> </w:t>
      </w:r>
      <w:r>
        <w:t xml:space="preserve">Expected to be flat to up low single digits, as communications offsets continued weakness and deliberate deemphasis in lower-value lifestyle markets.</w:t>
      </w:r>
    </w:p>
    <w:p>
      <w:pPr>
        <w:pStyle w:val="Compact"/>
        <w:numPr>
          <w:ilvl w:val="0"/>
          <w:numId w:val="1004"/>
        </w:numPr>
      </w:pPr>
      <w:r>
        <w:rPr>
          <w:b/>
          <w:bCs/>
        </w:rPr>
        <w:t xml:space="preserve">Margins:</w:t>
      </w:r>
      <w:r>
        <w:t xml:space="preserve"> </w:t>
      </w:r>
      <w:r>
        <w:t xml:space="preserve">The strategic goal is continued portfolio improvement, productivity gains, and better mix—not simply revenue growth.</w:t>
      </w:r>
    </w:p>
    <w:p>
      <w:pPr>
        <w:pStyle w:val="FirstParagraph"/>
      </w:pPr>
      <w:r>
        <w:t xml:space="preserve">The remaining company may not receive CPI-like growth multiples, so management needs to establish a credible case for durable margin expansion, cash conversion, and disciplined buybacks. Flex finished FY26 with</w:t>
      </w:r>
      <w:r>
        <w:t xml:space="preserve"> </w:t>
      </w:r>
      <m:oMath>
        <m:r>
          <m:t>1.06</m:t>
        </m:r>
        <m:r>
          <m:t>b</m:t>
        </m:r>
        <m:r>
          <m:t>i</m:t>
        </m:r>
        <m:r>
          <m:t>l</m:t>
        </m:r>
        <m:r>
          <m:t>l</m:t>
        </m:r>
        <m:r>
          <m:t>i</m:t>
        </m:r>
        <m:r>
          <m:t>o</m:t>
        </m:r>
        <m:r>
          <m:t>n</m:t>
        </m:r>
        <m:r>
          <m:t>i</m:t>
        </m:r>
        <m:r>
          <m:t>n</m:t>
        </m:r>
        <m:r>
          <m:t>f</m:t>
        </m:r>
        <m:r>
          <m:t>r</m:t>
        </m:r>
        <m:r>
          <m:t>e</m:t>
        </m:r>
        <m:r>
          <m:t>e</m:t>
        </m:r>
        <m:r>
          <m:t>c</m:t>
        </m:r>
        <m:r>
          <m:t>a</m:t>
        </m:r>
        <m:r>
          <m:t>s</m:t>
        </m:r>
        <m:r>
          <m:t>h</m:t>
        </m:r>
        <m:r>
          <m:t>f</m:t>
        </m:r>
        <m:r>
          <m:t>l</m:t>
        </m:r>
        <m:r>
          <m:t>o</m:t>
        </m:r>
        <m:r>
          <m:t>w</m:t>
        </m:r>
        <m:r>
          <m:rPr>
            <m:sty m:val="p"/>
          </m:rPr>
          <m:t>*</m:t>
        </m:r>
        <m:r>
          <m:rPr>
            <m:sty m:val="p"/>
          </m:rPr>
          <m:t>*</m:t>
        </m:r>
        <m:r>
          <m:t>a</m:t>
        </m:r>
        <m:r>
          <m:t>n</m:t>
        </m:r>
        <m:r>
          <m:t>d</m:t>
        </m:r>
        <m:r>
          <m:t>r</m:t>
        </m:r>
        <m:r>
          <m:t>e</m:t>
        </m:r>
        <m:r>
          <m:t>p</m:t>
        </m:r>
        <m:r>
          <m:t>u</m:t>
        </m:r>
        <m:r>
          <m:t>r</m:t>
        </m:r>
        <m:r>
          <m:t>c</m:t>
        </m:r>
        <m:r>
          <m:t>h</m:t>
        </m:r>
        <m:r>
          <m:t>a</m:t>
        </m:r>
        <m:r>
          <m:t>s</m:t>
        </m:r>
        <m:r>
          <m:t>e</m:t>
        </m:r>
        <m:r>
          <m:t>d</m:t>
        </m:r>
        <m:r>
          <m:rPr>
            <m:sty m:val="p"/>
          </m:rPr>
          <m:t>*</m:t>
        </m:r>
        <m:r>
          <m:rPr>
            <m:sty m:val="p"/>
          </m:rPr>
          <m:t>*</m:t>
        </m:r>
      </m:oMath>
      <w:r>
        <w:rPr>
          <w:b/>
          <w:bCs/>
        </w:rPr>
        <w:t xml:space="preserve">944 million</w:t>
      </w:r>
      <w:r>
        <w:t xml:space="preserve"> </w:t>
      </w:r>
      <w:r>
        <w:t xml:space="preserve">of stock, illustrating the cash-generation and return-of-capital framework investors will expect to persist. (</w:t>
      </w:r>
      <w:hyperlink r:id="rId11">
        <w:r>
          <w:rPr>
            <w:rStyle w:val="Hyperlink"/>
          </w:rPr>
          <w:t xml:space="preserve">investors.flex.com</w:t>
        </w:r>
      </w:hyperlink>
      <w:r>
        <w:t xml:space="preserve">)</w:t>
      </w:r>
    </w:p>
    <w:p>
      <w:r>
        <w:pict>
          <v:rect style="width:0;height:1.5pt" o:hralign="center" o:hrstd="t" o:hr="t"/>
        </w:pict>
      </w:r>
    </w:p>
    <w:bookmarkEnd w:id="16"/>
    <w:bookmarkStart w:id="17" w:name="what-would-make-the-report-bullish"/>
    <w:p>
      <w:pPr>
        <w:pStyle w:val="Heading2"/>
      </w:pPr>
      <w:r>
        <w:t xml:space="preserve">What would make the report bullish?</w:t>
      </w:r>
    </w:p>
    <w:p>
      <w:pPr>
        <w:pStyle w:val="FirstParagraph"/>
      </w:pPr>
      <w:r>
        <w:t xml:space="preserve">A constructive outcome would likely include:</w:t>
      </w:r>
    </w:p>
    <w:p>
      <w:pPr>
        <w:pStyle w:val="Compact"/>
        <w:numPr>
          <w:ilvl w:val="0"/>
          <w:numId w:val="1005"/>
        </w:numPr>
      </w:pPr>
      <w:r>
        <w:t xml:space="preserve">Revenue and adjusted EPS at or above the high end of Q1 guidance.</w:t>
      </w:r>
    </w:p>
    <w:p>
      <w:pPr>
        <w:pStyle w:val="Compact"/>
        <w:numPr>
          <w:ilvl w:val="0"/>
          <w:numId w:val="1005"/>
        </w:numPr>
      </w:pPr>
      <w:r>
        <w:rPr>
          <w:b/>
          <w:bCs/>
        </w:rPr>
        <w:t xml:space="preserve">CPI growth above the 20%–30% guided range</w:t>
      </w:r>
      <w:r>
        <w:t xml:space="preserve">, or especially strong commentary on second-half program launches.</w:t>
      </w:r>
    </w:p>
    <w:p>
      <w:pPr>
        <w:pStyle w:val="Compact"/>
        <w:numPr>
          <w:ilvl w:val="0"/>
          <w:numId w:val="1005"/>
        </w:numPr>
      </w:pPr>
      <w:r>
        <w:t xml:space="preserve">Reaffirmation or an increase to FY27 revenue, margin, and EPS guidance.</w:t>
      </w:r>
    </w:p>
    <w:p>
      <w:pPr>
        <w:pStyle w:val="Compact"/>
        <w:numPr>
          <w:ilvl w:val="0"/>
          <w:numId w:val="1005"/>
        </w:numPr>
      </w:pPr>
      <w:r>
        <w:t xml:space="preserve">Confidence that the</w:t>
      </w:r>
      <w:r>
        <w:t xml:space="preserve"> </w:t>
      </w:r>
      <m:oMath>
        <m:r>
          <m:t>1.4</m:t>
        </m:r>
        <m:r>
          <m:t>B</m:t>
        </m:r>
        <m:r>
          <m:rPr>
            <m:sty m:val="p"/>
          </m:rPr>
          <m:t>–</m:t>
        </m:r>
      </m:oMath>
      <w:r>
        <w:rPr>
          <w:b/>
          <w:bCs/>
        </w:rPr>
        <w:t xml:space="preserve">1.6B capex plan is sufficient</w:t>
      </w:r>
      <w:r>
        <w:t xml:space="preserve">, rather than needing to rise.</w:t>
      </w:r>
    </w:p>
    <w:p>
      <w:pPr>
        <w:pStyle w:val="Compact"/>
        <w:numPr>
          <w:ilvl w:val="0"/>
          <w:numId w:val="1005"/>
        </w:numPr>
      </w:pPr>
      <w:r>
        <w:t xml:space="preserve">No deterioration in expected free-cash-flow conversion.</w:t>
      </w:r>
    </w:p>
    <w:p>
      <w:pPr>
        <w:pStyle w:val="Compact"/>
        <w:numPr>
          <w:ilvl w:val="0"/>
          <w:numId w:val="1005"/>
        </w:numPr>
      </w:pPr>
      <w:r>
        <w:t xml:space="preserve">Details demonstrating that CPI’s current margin drag is temporary and that the planned recovery toward higher profitability remains on track.</w:t>
      </w:r>
    </w:p>
    <w:p>
      <w:pPr>
        <w:pStyle w:val="Compact"/>
        <w:numPr>
          <w:ilvl w:val="0"/>
          <w:numId w:val="1005"/>
        </w:numPr>
      </w:pPr>
      <w:r>
        <w:t xml:space="preserve">Clear spin milestones and more disclosure around standalone financials and capital structure.</w:t>
      </w:r>
    </w:p>
    <w:p>
      <w:r>
        <w:pict>
          <v:rect style="width:0;height:1.5pt" o:hralign="center" o:hrstd="t" o:hr="t"/>
        </w:pict>
      </w:r>
    </w:p>
    <w:bookmarkEnd w:id="17"/>
    <w:bookmarkStart w:id="18" w:name="what-could-disappoint"/>
    <w:p>
      <w:pPr>
        <w:pStyle w:val="Heading2"/>
      </w:pPr>
      <w:r>
        <w:t xml:space="preserve">What could disappoint?</w:t>
      </w:r>
    </w:p>
    <w:p>
      <w:pPr>
        <w:pStyle w:val="FirstParagraph"/>
      </w:pPr>
      <w:r>
        <w:t xml:space="preserve">The primary risks are not limited to a headline EPS miss:</w:t>
      </w:r>
    </w:p>
    <w:p>
      <w:pPr>
        <w:pStyle w:val="Compact"/>
        <w:numPr>
          <w:ilvl w:val="0"/>
          <w:numId w:val="1006"/>
        </w:numPr>
      </w:pPr>
      <w:r>
        <w:rPr>
          <w:b/>
          <w:bCs/>
        </w:rPr>
        <w:t xml:space="preserve">CPI ramp timing slips.</w:t>
      </w:r>
      <w:r>
        <w:t xml:space="preserve"> </w:t>
      </w:r>
      <w:r>
        <w:t xml:space="preserve">A delay in hyperscaler deployments or factory readiness could pressure the second-half growth profile.</w:t>
      </w:r>
    </w:p>
    <w:p>
      <w:pPr>
        <w:pStyle w:val="Compact"/>
        <w:numPr>
          <w:ilvl w:val="0"/>
          <w:numId w:val="1006"/>
        </w:numPr>
      </w:pPr>
      <w:r>
        <w:rPr>
          <w:b/>
          <w:bCs/>
        </w:rPr>
        <w:t xml:space="preserve">Capex moves higher.</w:t>
      </w:r>
      <w:r>
        <w:t xml:space="preserve"> </w:t>
      </w:r>
      <w:r>
        <w:t xml:space="preserve">Incremental spending may be strategically rational, but investors may penalize lower near-term cash conversion.</w:t>
      </w:r>
    </w:p>
    <w:p>
      <w:pPr>
        <w:pStyle w:val="Compact"/>
        <w:numPr>
          <w:ilvl w:val="0"/>
          <w:numId w:val="1006"/>
        </w:numPr>
      </w:pPr>
      <w:r>
        <w:rPr>
          <w:b/>
          <w:bCs/>
        </w:rPr>
        <w:t xml:space="preserve">Margins fail to scale with revenue.</w:t>
      </w:r>
      <w:r>
        <w:t xml:space="preserve"> </w:t>
      </w:r>
      <w:r>
        <w:t xml:space="preserve">CPI is expected to benefit as prior infrastructure investment is absorbed; a lack of progress would challenge the operating-leverage thesis.</w:t>
      </w:r>
    </w:p>
    <w:p>
      <w:pPr>
        <w:pStyle w:val="Compact"/>
        <w:numPr>
          <w:ilvl w:val="0"/>
          <w:numId w:val="1006"/>
        </w:numPr>
      </w:pPr>
      <w:r>
        <w:rPr>
          <w:b/>
          <w:bCs/>
        </w:rPr>
        <w:t xml:space="preserve">Full-year guidance is merely reiterated without stronger evidence.</w:t>
      </w:r>
      <w:r>
        <w:t xml:space="preserve"> </w:t>
      </w:r>
      <w:r>
        <w:t xml:space="preserve">Given the high expectations, investors may view an unchanged outlook as insufficient if commentary on demand, capacity, or program timing is cautious.</w:t>
      </w:r>
    </w:p>
    <w:p>
      <w:pPr>
        <w:pStyle w:val="Compact"/>
        <w:numPr>
          <w:ilvl w:val="0"/>
          <w:numId w:val="1006"/>
        </w:numPr>
      </w:pPr>
      <w:r>
        <w:rPr>
          <w:b/>
          <w:bCs/>
        </w:rPr>
        <w:t xml:space="preserve">Spin uncertainty persists.</w:t>
      </w:r>
      <w:r>
        <w:t xml:space="preserve"> </w:t>
      </w:r>
      <w:r>
        <w:t xml:space="preserve">A delayed timeline, less favorable capital structure, or larger-than-expected transaction costs could reduce the perceived value-unlock opportunity.</w:t>
      </w:r>
    </w:p>
    <w:p>
      <w:pPr>
        <w:pStyle w:val="Compact"/>
        <w:numPr>
          <w:ilvl w:val="0"/>
          <w:numId w:val="1006"/>
        </w:numPr>
      </w:pPr>
      <w:r>
        <w:rPr>
          <w:b/>
          <w:bCs/>
        </w:rPr>
        <w:t xml:space="preserve">Legacy-business softness offsets CPI.</w:t>
      </w:r>
      <w:r>
        <w:t xml:space="preserve"> </w:t>
      </w:r>
      <w:r>
        <w:t xml:space="preserve">Continued weakness in lifestyle or a slower automotive recovery could limit the quality of consolidated growth.</w:t>
      </w:r>
    </w:p>
    <w:p>
      <w:r>
        <w:pict>
          <v:rect style="width:0;height:1.5pt" o:hralign="center" o:hrstd="t" o:hr="t"/>
        </w:pict>
      </w:r>
    </w:p>
    <w:bookmarkEnd w:id="18"/>
    <w:bookmarkStart w:id="19" w:name="questions-that-matter-most-on-the-call"/>
    <w:p>
      <w:pPr>
        <w:pStyle w:val="Heading2"/>
      </w:pPr>
      <w:r>
        <w:t xml:space="preserve">Questions that matter most on the call</w:t>
      </w:r>
    </w:p>
    <w:p>
      <w:pPr>
        <w:pStyle w:val="Compact"/>
        <w:numPr>
          <w:ilvl w:val="0"/>
          <w:numId w:val="1007"/>
        </w:numPr>
      </w:pPr>
      <w:r>
        <w:rPr>
          <w:b/>
          <w:bCs/>
        </w:rPr>
        <w:t xml:space="preserve">What has changed, if anything, in CPI program timing since the May guide?</w:t>
      </w:r>
    </w:p>
    <w:p>
      <w:pPr>
        <w:pStyle w:val="Compact"/>
        <w:numPr>
          <w:ilvl w:val="0"/>
          <w:numId w:val="1007"/>
        </w:numPr>
      </w:pPr>
      <w:r>
        <w:rPr>
          <w:b/>
          <w:bCs/>
        </w:rPr>
        <w:t xml:space="preserve">How much of FY27 CPI growth is supported by booked business versus expected program awards?</w:t>
      </w:r>
    </w:p>
    <w:p>
      <w:pPr>
        <w:pStyle w:val="Compact"/>
        <w:numPr>
          <w:ilvl w:val="0"/>
          <w:numId w:val="1007"/>
        </w:numPr>
      </w:pPr>
      <w:r>
        <w:rPr>
          <w:b/>
          <w:bCs/>
        </w:rPr>
        <w:t xml:space="preserve">Is the second-half ramp constrained by customer timing, component supply, factory capacity, labor, or customer qualification?</w:t>
      </w:r>
    </w:p>
    <w:p>
      <w:pPr>
        <w:pStyle w:val="Compact"/>
        <w:numPr>
          <w:ilvl w:val="0"/>
          <w:numId w:val="1007"/>
        </w:numPr>
      </w:pPr>
      <w:r>
        <w:rPr>
          <w:b/>
          <w:bCs/>
        </w:rPr>
        <w:t xml:space="preserve">Is the FY27 capex range still sufficient, and what specifically needs to occur for capex to normalize in FY28?</w:t>
      </w:r>
    </w:p>
    <w:p>
      <w:pPr>
        <w:pStyle w:val="Compact"/>
        <w:numPr>
          <w:ilvl w:val="0"/>
          <w:numId w:val="1007"/>
        </w:numPr>
      </w:pPr>
      <w:r>
        <w:rPr>
          <w:b/>
          <w:bCs/>
        </w:rPr>
        <w:t xml:space="preserve">Are CPI margins recovering as planned, particularly in cloud-related programs?</w:t>
      </w:r>
    </w:p>
    <w:p>
      <w:pPr>
        <w:pStyle w:val="Compact"/>
        <w:numPr>
          <w:ilvl w:val="0"/>
          <w:numId w:val="1007"/>
        </w:numPr>
      </w:pPr>
      <w:r>
        <w:rPr>
          <w:b/>
          <w:bCs/>
        </w:rPr>
        <w:t xml:space="preserve">Can management quantify the size and timing of spin-related costs and dis-synergies?</w:t>
      </w:r>
    </w:p>
    <w:p>
      <w:pPr>
        <w:pStyle w:val="Compact"/>
        <w:numPr>
          <w:ilvl w:val="0"/>
          <w:numId w:val="1007"/>
        </w:numPr>
      </w:pPr>
      <w:r>
        <w:rPr>
          <w:b/>
          <w:bCs/>
        </w:rPr>
        <w:t xml:space="preserve">When will investors receive standalone financials, capital-structure details, and additional SpinCo management information?</w:t>
      </w:r>
    </w:p>
    <w:p>
      <w:pPr>
        <w:pStyle w:val="Compact"/>
        <w:numPr>
          <w:ilvl w:val="0"/>
          <w:numId w:val="1007"/>
        </w:numPr>
      </w:pPr>
      <w:r>
        <w:rPr>
          <w:b/>
          <w:bCs/>
        </w:rPr>
        <w:t xml:space="preserve">How will Flex balance buybacks, debt management, and investment needs before and after the separation?</w:t>
      </w:r>
    </w:p>
    <w:p>
      <w:r>
        <w:pict>
          <v:rect style="width:0;height:1.5pt" o:hralign="center" o:hrstd="t" o:hr="t"/>
        </w:pict>
      </w:r>
    </w:p>
    <w:bookmarkEnd w:id="19"/>
    <w:bookmarkStart w:id="20" w:name="takeaway"/>
    <w:p>
      <w:pPr>
        <w:pStyle w:val="Heading2"/>
      </w:pPr>
      <w:r>
        <w:t xml:space="preserve">Takeaway</w:t>
      </w:r>
    </w:p>
    <w:p>
      <w:pPr>
        <w:pStyle w:val="FirstParagraph"/>
      </w:pPr>
      <w:r>
        <w:t xml:space="preserve">Flex has moved from a steady operational-improvement story to a much more eventful AI-infrastructure and corporate-separation story. The upside case rests on CPI becoming a scaled, higher-margin critical-infrastructure platform with growth that substantially exceeds the broader company’s historical profile. The risk is that the growth is real but</w:t>
      </w:r>
      <w:r>
        <w:t xml:space="preserve"> </w:t>
      </w:r>
      <w:r>
        <w:rPr>
          <w:b/>
          <w:bCs/>
        </w:rPr>
        <w:t xml:space="preserve">more capital-intensive, more back-end weighted, and more execution-sensitive</w:t>
      </w:r>
      <w:r>
        <w:t xml:space="preserve"> </w:t>
      </w:r>
      <w:r>
        <w:t xml:space="preserve">than the market currently tolerates.</w:t>
      </w:r>
    </w:p>
    <w:p>
      <w:pPr>
        <w:pStyle w:val="BodyText"/>
      </w:pPr>
      <w:r>
        <w:t xml:space="preserve">For this report, the key is not just whether Flex beats the Q1 midpoint of</w:t>
      </w:r>
      <w:r>
        <w:t xml:space="preserve"> </w:t>
      </w:r>
      <m:oMath>
        <m:r>
          <m:t>7.5</m:t>
        </m:r>
        <m:r>
          <m:t>b</m:t>
        </m:r>
        <m:r>
          <m:t>i</m:t>
        </m:r>
        <m:r>
          <m:t>l</m:t>
        </m:r>
        <m:r>
          <m:t>l</m:t>
        </m:r>
        <m:r>
          <m:t>i</m:t>
        </m:r>
        <m:r>
          <m:t>o</m:t>
        </m:r>
        <m:r>
          <m:t>n</m:t>
        </m:r>
        <m:r>
          <m:t>i</m:t>
        </m:r>
        <m:r>
          <m:t>n</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0.89 in adjusted EPS</w:t>
      </w:r>
      <w:r>
        <w:t xml:space="preserve">. It is whether management reinforces confidence that its</w:t>
      </w:r>
      <w:r>
        <w:t xml:space="preserve"> </w:t>
      </w:r>
      <w:r>
        <w:rPr>
          <w:b/>
          <w:bCs/>
        </w:rPr>
        <w:t xml:space="preserve">65%–75% FY27 CPI growth</w:t>
      </w:r>
      <w:r>
        <w:t xml:space="preserve">, margin-recapture, cash-conversion, and calendar-Q1 2027 spin targets remain intact.</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s://investors.flex.com/news/news-details/2026/FLEX-REPORTS-FOURTH-QUARTER-AND-FISCAL-2026-RESULTS/default.aspx?utm_source=openai" TargetMode="External" /><Relationship Type="http://schemas.openxmlformats.org/officeDocument/2006/relationships/hyperlink" Id="rId9" Target="https://investors.flex.com/news/news-details/2026/Flex-Announces-Date-for-First-Quarter-Fiscal-Year-2027-Earnings-Call/default.aspx?utm_source=openai" TargetMode="External" /><Relationship Type="http://schemas.openxmlformats.org/officeDocument/2006/relationships/hyperlink" Id="rId14" Target="https://investors.flex.com/news/news-details/2026/Flex-Announces-Intention-to-Spin-Off-its-Cloud-and-Power-Infrastructure-Segment-into-a-New-Independent-Publicly-Traded-Company/default.aspx?utm_source=openai" TargetMode="External" /></Relationships>
</file>

<file path=word/_rels/footnotes.xml.rels><?xml version="1.0" encoding="UTF-8"?><Relationships xmlns="http://schemas.openxmlformats.org/package/2006/relationships"><Relationship Type="http://schemas.openxmlformats.org/officeDocument/2006/relationships/hyperlink" Id="rId11" Target="https://investors.flex.com/news/news-details/2026/FLEX-REPORTS-FOURTH-QUARTER-AND-FISCAL-2026-RESULTS/default.aspx?utm_source=openai" TargetMode="External" /><Relationship Type="http://schemas.openxmlformats.org/officeDocument/2006/relationships/hyperlink" Id="rId9" Target="https://investors.flex.com/news/news-details/2026/Flex-Announces-Date-for-First-Quarter-Fiscal-Year-2027-Earnings-Call/default.aspx?utm_source=openai" TargetMode="External" /><Relationship Type="http://schemas.openxmlformats.org/officeDocument/2006/relationships/hyperlink" Id="rId14" Target="https://investors.flex.com/news/news-details/2026/Flex-Announces-Intention-to-Spin-Off-its-Cloud-and-Power-Infrastructure-Segment-into-a-New-Independent-Publicly-Traded-Company/default.aspx?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2026-07-29T00:38:11Z</dcterms:created>
  <dcterms:modified xsi:type="dcterms:W3CDTF">2026-07-29T00:38:11Z</dcterms:modified>
</cp:coreProperties>
</file>

<file path=docProps/custom.xml><?xml version="1.0" encoding="utf-8"?>
<Properties xmlns="http://schemas.openxmlformats.org/officeDocument/2006/custom-properties" xmlns:vt="http://schemas.openxmlformats.org/officeDocument/2006/docPropsVTypes"/>
</file>