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Flex Ltd. (FLEX) — Earnings Preview</w:t>
      </w:r>
    </w:p>
    <w:p>
      <w:r>
        <w:rPr>
          <w:rFonts w:ascii="Calibri" w:hAnsi="Calibri"/>
          <w:b/>
          <w:color w:val="525866"/>
          <w:sz w:val="22"/>
        </w:rPr>
        <w:t xml:space="preserve">Ticker: </w:t>
      </w:r>
      <w:r>
        <w:rPr>
          <w:rFonts w:ascii="Calibri" w:hAnsi="Calibri"/>
          <w:color w:val="525866"/>
          <w:sz w:val="22"/>
        </w:rPr>
        <w:t xml:space="preserve">FLEX  </w:t>
      </w:r>
      <w:r>
        <w:rPr>
          <w:rFonts w:ascii="Calibri" w:hAnsi="Calibri"/>
          <w:b/>
          <w:color w:val="525866"/>
          <w:sz w:val="22"/>
        </w:rPr>
        <w:t xml:space="preserve">Upcoming Quarter: </w:t>
      </w:r>
      <w:r>
        <w:rPr>
          <w:rFonts w:ascii="Calibri" w:hAnsi="Calibri"/>
          <w:color w:val="525866"/>
          <w:sz w:val="22"/>
        </w:rPr>
        <w:t xml:space="preserve">Q1 FY2027 (quarter ending June 30, 2026)  </w:t>
      </w:r>
      <w:r>
        <w:rPr>
          <w:rFonts w:ascii="Calibri" w:hAnsi="Calibri"/>
          <w:b/>
          <w:color w:val="525866"/>
          <w:sz w:val="22"/>
        </w:rPr>
        <w:t xml:space="preserve">Earnings Date: </w:t>
      </w:r>
      <w:r>
        <w:rPr>
          <w:rFonts w:ascii="Calibri" w:hAnsi="Calibri"/>
          <w:color w:val="525866"/>
          <w:sz w:val="22"/>
        </w:rPr>
        <w:t xml:space="preserve">August 2026 (exact date TBD)  </w:t>
      </w:r>
      <w:r>
        <w:rPr>
          <w:rFonts w:ascii="Calibri" w:hAnsi="Calibri"/>
          <w:b/>
          <w:color w:val="525866"/>
          <w:sz w:val="22"/>
        </w:rPr>
        <w:t xml:space="preserve">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FLEX Q1 FY2027 is constructive — consensus sits below guidance midpoints on both revenue and EPS, and the dominant swing factor is whether CPI (SpinCo) power and cloud ramp velocity in the first half matches the aggressive 65–75% full-year growth target management committed to on May 5.</w:t>
      </w:r>
    </w:p>
    <w:p>
      <w:r>
        <w:rPr>
          <w:rFonts w:ascii="Calibri" w:hAnsi="Calibri"/>
          <w:color w:val="525866"/>
          <w:sz w:val="22"/>
        </w:rPr>
        <w:t xml:space="preserve">Heading into Q1 FY2027, the bar appears manageable: consensus revenue of ~$7.52B sits just above the $7.50B guidance midpoint, while adjusted EPS consensus of ~$0.91 is near the $0.89 midpoint of the $0.86–$0.92 guide — leaving limited room for error but also limited downside if execution holds. </w:t>
      </w:r>
      <w:r>
        <w:rPr>
          <w:rFonts w:ascii="Calibri" w:hAnsi="Calibri"/>
          <w:b/>
          <w:color w:val="525866"/>
          <w:sz w:val="22"/>
        </w:rPr>
        <w:t>Management's tone on the May 5 earnings call was the most confident in the company's history</w:t>
      </w:r>
      <w:r>
        <w:rPr>
          <w:rFonts w:ascii="Calibri" w:hAnsi="Calibri"/>
          <w:color w:val="525866"/>
          <w:sz w:val="22"/>
        </w:rPr>
        <w:t xml:space="preserve">, anchored by a multi-year Google contract and a pipeline of hyperscaler, neo-cloud, and colo wins that management says is fully booked through FY2028. Estimate revisions have been broadly stable since the print, with the post-earnings baseline largely intact, suggesting the Street has not yet materially re-rated the CPI growth story higher or lower. The stock surged ~40% on the earnings/spin-off announcement but has since given back roughly half those gains (from a ~$162 peak in late June to ~$117 as of July 28), creating a more attractive entry point and a lower bar for a positive reaction. The key wildcard is </w:t>
      </w:r>
      <w:r>
        <w:rPr>
          <w:rFonts w:ascii="Calibri" w:hAnsi="Calibri"/>
          <w:b/>
          <w:color w:val="525866"/>
          <w:sz w:val="22"/>
        </w:rPr>
        <w:t>CPI ramp timing</w:t>
      </w:r>
      <w:r>
        <w:rPr>
          <w:rFonts w:ascii="Calibri" w:hAnsi="Calibri"/>
          <w:color w:val="525866"/>
          <w:sz w:val="22"/>
        </w:rPr>
        <w:t>: management guided CPI Q1 revenue up only 20–30% YoY (vs. 65–75% for the full year), explicitly flagging that growth accelerates in H2 FY27 as FY26 capacity investments come online — any signal that H2 ramp is ahead of or behind schedule will be the dominant stock driver on print day.</w:t>
      </w:r>
    </w:p>
    <w:p>
      <w:r>
        <w:rPr>
          <w:rFonts w:ascii="Calibri" w:hAnsi="Calibri"/>
          <w:b/>
          <w:color w:val="525866"/>
          <w:sz w:val="22"/>
        </w:rPr>
        <w:t xml:space="preserve">Bar: </w:t>
      </w:r>
      <w:r>
        <w:rPr>
          <w:rFonts w:ascii="Calibri" w:hAnsi="Calibri"/>
          <w:color w:val="525866"/>
          <w:sz w:val="22"/>
        </w:rPr>
        <w:t>Consensus is roughly in line with guidance midpoints — a neutral-to-slightly-low bar. Revenue consensus of ~$7.52B is just above the $7.50B midpoint; adjusted EPS consensus of ~$0.91 is near the $0.89 midpoint. The bar is not stretched, but it is not easy either given the CPI ramp front-loading risk.</w:t>
      </w:r>
    </w:p>
    <w:p>
      <w:r>
        <w:rPr>
          <w:rFonts w:ascii="Calibri" w:hAnsi="Calibri"/>
          <w:b/>
          <w:color w:val="525866"/>
          <w:sz w:val="22"/>
        </w:rPr>
        <w:t xml:space="preserve">Guidance/Tone: </w:t>
      </w:r>
      <w:r>
        <w:rPr>
          <w:rFonts w:ascii="Calibri" w:hAnsi="Calibri"/>
          <w:color w:val="525866"/>
          <w:sz w:val="22"/>
        </w:rPr>
        <w:t>Management's posture on May 5 was unambiguously bullish — the simultaneous spin-off announcement, multi-year Google contract disclosure, and 65–75% CPI growth guide for FY27 (accelerating to 80%+ in FY28) represented the most aggressive forward commitment in the company's history. No post-earnings guidance revisions have been issued; tone is unchanged.</w:t>
      </w:r>
    </w:p>
    <w:p>
      <w:r>
        <w:rPr>
          <w:rFonts w:ascii="Calibri" w:hAnsi="Calibri"/>
          <w:b/>
          <w:color w:val="525866"/>
          <w:sz w:val="22"/>
        </w:rPr>
        <w:t xml:space="preserve">Estimate Trajectory: </w:t>
      </w:r>
      <w:r>
        <w:rPr>
          <w:rFonts w:ascii="Calibri" w:hAnsi="Calibri"/>
          <w:color w:val="525866"/>
          <w:sz w:val="22"/>
        </w:rPr>
        <w:t>Estimates have been broadly stable since the May 5 print. The post-earnings baseline for Q1 FY27 revenue (~$7.52B) and EPS (~$0.91) has not moved materially, suggesting the Street is in a wait-and-see mode on CPI ramp execution rather than pre-positioning aggressively in either direction.</w:t>
      </w:r>
    </w:p>
    <w:p>
      <w:r>
        <w:rPr>
          <w:rFonts w:ascii="Calibri" w:hAnsi="Calibri"/>
          <w:b/>
          <w:color w:val="525866"/>
          <w:sz w:val="22"/>
        </w:rPr>
        <w:t xml:space="preserve">Stock Setup: </w:t>
      </w:r>
      <w:r>
        <w:rPr>
          <w:rFonts w:ascii="Calibri" w:hAnsi="Calibri"/>
          <w:color w:val="525866"/>
          <w:sz w:val="22"/>
        </w:rPr>
        <w:t>FLEX surged from ~$96 (pre-earnings close May 5) to a peak of ~$162 in late June (+68%), then retraced to ~$117 by July 28 (+21% from pre-earnings). The retracement reflects profit-taking and some uncertainty around CPI ramp timing, not a fundamental deterioration. At current levels, the stock is pricing in solid but not exceptional execution — a beat on CPI revenue or a positive H2 ramp signal could re-accelerate the re-rating.</w:t>
      </w:r>
    </w:p>
    <w:p>
      <w:r>
        <w:rPr>
          <w:rFonts w:ascii="Calibri" w:hAnsi="Calibri"/>
          <w:b/>
          <w:color w:val="525866"/>
          <w:sz w:val="22"/>
        </w:rPr>
        <w:t xml:space="preserve">Wildcard: </w:t>
      </w:r>
      <w:r>
        <w:rPr>
          <w:rFonts w:ascii="Calibri" w:hAnsi="Calibri"/>
          <w:color w:val="525866"/>
          <w:sz w:val="22"/>
        </w:rPr>
        <w:t>CPI H2 ramp visibility. Management guided Q1 CPI up only 20–30% YoY, with the bulk of the 65–75% full-year growth loaded into H2. Any commentary on program milestones, customer acceptance, or capacity readiness that de-risks (or raises doubt about) the H2 acceleration will be the single biggest stock driver on print day.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near guidance midpoints on both revenue and EPS — a neutral bar. </w:t>
      </w:r>
      <w:r>
        <w:rPr>
          <w:rFonts w:ascii="Calibri" w:hAnsi="Calibri"/>
          <w:b/>
          <w:color w:val="525866"/>
          <w:sz w:val="22"/>
        </w:rPr>
        <w:t>CPI segment revenue growth rate is the bigger swing factor</w:t>
      </w:r>
      <w:r>
        <w:rPr>
          <w:rFonts w:ascii="Calibri" w:hAnsi="Calibri"/>
          <w:color w:val="525866"/>
          <w:sz w:val="22"/>
        </w:rPr>
        <w:t>: Q1 is guided up only 20–30% YoY (vs. 65–75% for the full year), and any upside surprise there would be the most meaningful positive catalyst.</w:t>
      </w:r>
    </w:p>
    <w:p>
      <w:pPr>
        <w:pStyle w:val="Heading3"/>
      </w:pPr>
      <w:r>
        <w:rPr>
          <w:rFonts w:ascii="Calibri" w:hAnsi="Calibri"/>
          <w:b/>
          <w:color w:val="3B4259"/>
          <w:sz w:val="24"/>
        </w:rPr>
        <w:t>Table 1 — Current Quarter Snapshot (Q1 FY2027,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FY26)</w:t>
            </w:r>
          </w:p>
        </w:tc>
        <w:tc>
          <w:tcPr>
            <w:tcW w:type="dxa" w:w="1234"/>
            <w:shd w:val="clear" w:color="auto" w:fill="3B4259"/>
          </w:tcPr>
          <w:p>
            <w:r>
              <w:rPr>
                <w:rFonts w:ascii="Calibri" w:hAnsi="Calibri"/>
                <w:b/>
                <w:color w:val="FFFFFF"/>
                <w:sz w:val="22"/>
              </w:rPr>
              <w:t>Prior Year Period (Q1 FY26 Actual)</w:t>
            </w:r>
          </w:p>
        </w:tc>
        <w:tc>
          <w:tcPr>
            <w:tcW w:type="dxa" w:w="1234"/>
            <w:shd w:val="clear" w:color="auto" w:fill="3B4259"/>
          </w:tcPr>
          <w:p>
            <w:r>
              <w:rPr>
                <w:rFonts w:ascii="Calibri" w:hAnsi="Calibri"/>
                <w:b/>
                <w:color w:val="FFFFFF"/>
                <w:sz w:val="22"/>
              </w:rPr>
              <w:t>Q1 FY27 Consensus Estimate</w:t>
            </w:r>
          </w:p>
        </w:tc>
        <w:tc>
          <w:tcPr>
            <w:tcW w:type="dxa" w:w="1234"/>
            <w:shd w:val="clear" w:color="auto" w:fill="3B4259"/>
          </w:tcPr>
          <w:p>
            <w:r>
              <w:rPr>
                <w:rFonts w:ascii="Calibri" w:hAnsi="Calibri"/>
                <w:b/>
                <w:color w:val="FFFFFF"/>
                <w:sz w:val="22"/>
              </w:rPr>
              <w:t>YoY Change (vs. Q1 FY26)</w:t>
            </w:r>
          </w:p>
        </w:tc>
        <w:tc>
          <w:tcPr>
            <w:tcW w:type="dxa" w:w="1234"/>
            <w:shd w:val="clear" w:color="auto" w:fill="3B4259"/>
          </w:tcPr>
          <w:p>
            <w:r>
              <w:rPr>
                <w:rFonts w:ascii="Calibri" w:hAnsi="Calibri"/>
                <w:b/>
                <w:color w:val="FFFFFF"/>
                <w:sz w:val="22"/>
              </w:rPr>
              <w:t>Q1 FY27 Guidance (Midpoint)</w:t>
            </w:r>
          </w:p>
        </w:tc>
        <w:tc>
          <w:tcPr>
            <w:tcW w:type="dxa" w:w="1234"/>
            <w:shd w:val="clear" w:color="auto" w:fill="3B4259"/>
          </w:tcPr>
          <w:p>
            <w:r>
              <w:rPr>
                <w:rFonts w:ascii="Calibri" w:hAnsi="Calibri"/>
                <w:b/>
                <w:color w:val="FFFFFF"/>
                <w:sz w:val="22"/>
              </w:rPr>
              <w:t>Consensus vs. Guidance (%)</w:t>
            </w:r>
          </w:p>
        </w:tc>
      </w:tr>
      <w:tr>
        <w:tc>
          <w:tcPr>
            <w:tcW w:type="dxa" w:w="1234"/>
          </w:tcPr>
          <w:p>
            <w:r>
              <w:rPr>
                <w:rFonts w:ascii="Calibri" w:hAnsi="Calibri"/>
                <w:sz w:val="22"/>
              </w:rPr>
              <w:t>Total Revenue</w:t>
            </w:r>
          </w:p>
        </w:tc>
        <w:tc>
          <w:tcPr>
            <w:tcW w:type="dxa" w:w="1234"/>
          </w:tcPr>
          <w:p>
            <w:r>
              <w:rPr>
                <w:rFonts w:ascii="Calibri" w:hAnsi="Calibri"/>
                <w:sz w:val="22"/>
              </w:rPr>
              <w:t>$7.477B</w:t>
            </w:r>
          </w:p>
        </w:tc>
        <w:tc>
          <w:tcPr>
            <w:tcW w:type="dxa" w:w="1234"/>
          </w:tcPr>
          <w:p>
            <w:r>
              <w:rPr>
                <w:rFonts w:ascii="Calibri" w:hAnsi="Calibri"/>
                <w:sz w:val="22"/>
              </w:rPr>
              <w:t>$6.575B</w:t>
            </w:r>
          </w:p>
        </w:tc>
        <w:tc>
          <w:tcPr>
            <w:tcW w:type="dxa" w:w="1234"/>
          </w:tcPr>
          <w:p>
            <w:r>
              <w:rPr>
                <w:rFonts w:ascii="Calibri" w:hAnsi="Calibri"/>
                <w:sz w:val="22"/>
              </w:rPr>
              <w:t>$7.520B</w:t>
            </w:r>
          </w:p>
        </w:tc>
        <w:tc>
          <w:tcPr>
            <w:tcW w:type="dxa" w:w="1234"/>
          </w:tcPr>
          <w:p>
            <w:r>
              <w:rPr>
                <w:rFonts w:ascii="Calibri" w:hAnsi="Calibri"/>
                <w:sz w:val="22"/>
              </w:rPr>
              <w:t>+14.4%</w:t>
            </w:r>
          </w:p>
        </w:tc>
        <w:tc>
          <w:tcPr>
            <w:tcW w:type="dxa" w:w="1234"/>
          </w:tcPr>
          <w:p>
            <w:r>
              <w:rPr>
                <w:rFonts w:ascii="Calibri" w:hAnsi="Calibri"/>
                <w:sz w:val="22"/>
              </w:rPr>
              <w:t>$7.500B ($7.35B–$7.65B)</w:t>
            </w:r>
          </w:p>
        </w:tc>
        <w:tc>
          <w:tcPr>
            <w:tcW w:type="dxa" w:w="1234"/>
          </w:tcPr>
          <w:p>
            <w:r>
              <w:rPr>
                <w:rFonts w:ascii="Calibri" w:hAnsi="Calibri"/>
                <w:sz w:val="22"/>
              </w:rPr>
              <w:t>+0.3%</w:t>
            </w:r>
          </w:p>
        </w:tc>
      </w:tr>
      <w:tr>
        <w:tc>
          <w:tcPr>
            <w:tcW w:type="dxa" w:w="1234"/>
          </w:tcPr>
          <w:p>
            <w:r>
              <w:rPr>
                <w:rFonts w:ascii="Calibri" w:hAnsi="Calibri"/>
                <w:sz w:val="22"/>
              </w:rPr>
              <w:t>Adj. Operating Income</w:t>
            </w:r>
          </w:p>
        </w:tc>
        <w:tc>
          <w:tcPr>
            <w:tcW w:type="dxa" w:w="1234"/>
          </w:tcPr>
          <w:p>
            <w:r>
              <w:rPr>
                <w:rFonts w:ascii="Calibri" w:hAnsi="Calibri"/>
                <w:sz w:val="22"/>
              </w:rPr>
              <w:t>$500M</w:t>
            </w:r>
          </w:p>
        </w:tc>
        <w:tc>
          <w:tcPr>
            <w:tcW w:type="dxa" w:w="1234"/>
          </w:tcPr>
          <w:p>
            <w:r>
              <w:rPr>
                <w:rFonts w:ascii="Calibri" w:hAnsi="Calibri"/>
                <w:sz w:val="22"/>
              </w:rPr>
              <w:t>$395M</w:t>
            </w:r>
          </w:p>
        </w:tc>
        <w:tc>
          <w:tcPr>
            <w:tcW w:type="dxa" w:w="1234"/>
          </w:tcPr>
          <w:p>
            <w:r>
              <w:rPr>
                <w:rFonts w:ascii="Calibri" w:hAnsi="Calibri"/>
                <w:sz w:val="22"/>
              </w:rPr>
              <w:t>$493M</w:t>
            </w:r>
          </w:p>
        </w:tc>
        <w:tc>
          <w:tcPr>
            <w:tcW w:type="dxa" w:w="1234"/>
          </w:tcPr>
          <w:p>
            <w:r>
              <w:rPr>
                <w:rFonts w:ascii="Calibri" w:hAnsi="Calibri"/>
                <w:sz w:val="22"/>
              </w:rPr>
              <w:t>+24.8%</w:t>
            </w:r>
          </w:p>
        </w:tc>
        <w:tc>
          <w:tcPr>
            <w:tcW w:type="dxa" w:w="1234"/>
          </w:tcPr>
          <w:p>
            <w:r>
              <w:rPr>
                <w:rFonts w:ascii="Calibri" w:hAnsi="Calibri"/>
                <w:sz w:val="22"/>
              </w:rPr>
              <w:t>$484M ($469M–$499M)</w:t>
            </w:r>
          </w:p>
        </w:tc>
        <w:tc>
          <w:tcPr>
            <w:tcW w:type="dxa" w:w="1234"/>
          </w:tcPr>
          <w:p>
            <w:r>
              <w:rPr>
                <w:rFonts w:ascii="Calibri" w:hAnsi="Calibri"/>
                <w:sz w:val="22"/>
              </w:rPr>
              <w:t>+1.9%</w:t>
            </w:r>
          </w:p>
        </w:tc>
      </w:tr>
      <w:tr>
        <w:tc>
          <w:tcPr>
            <w:tcW w:type="dxa" w:w="1234"/>
          </w:tcPr>
          <w:p>
            <w:r>
              <w:rPr>
                <w:rFonts w:ascii="Calibri" w:hAnsi="Calibri"/>
                <w:sz w:val="22"/>
              </w:rPr>
              <w:t>Adj. EPS (Diluted)</w:t>
            </w:r>
          </w:p>
        </w:tc>
        <w:tc>
          <w:tcPr>
            <w:tcW w:type="dxa" w:w="1234"/>
          </w:tcPr>
          <w:p>
            <w:r>
              <w:rPr>
                <w:rFonts w:ascii="Calibri" w:hAnsi="Calibri"/>
                <w:sz w:val="22"/>
              </w:rPr>
              <w:t>$0.93</w:t>
            </w:r>
          </w:p>
        </w:tc>
        <w:tc>
          <w:tcPr>
            <w:tcW w:type="dxa" w:w="1234"/>
          </w:tcPr>
          <w:p>
            <w:r>
              <w:rPr>
                <w:rFonts w:ascii="Calibri" w:hAnsi="Calibri"/>
                <w:sz w:val="22"/>
              </w:rPr>
              <w:t>$0.72</w:t>
            </w:r>
          </w:p>
        </w:tc>
        <w:tc>
          <w:tcPr>
            <w:tcW w:type="dxa" w:w="1234"/>
          </w:tcPr>
          <w:p>
            <w:r>
              <w:rPr>
                <w:rFonts w:ascii="Calibri" w:hAnsi="Calibri"/>
                <w:sz w:val="22"/>
              </w:rPr>
              <w:t>$0.907</w:t>
            </w:r>
          </w:p>
        </w:tc>
        <w:tc>
          <w:tcPr>
            <w:tcW w:type="dxa" w:w="1234"/>
          </w:tcPr>
          <w:p>
            <w:r>
              <w:rPr>
                <w:rFonts w:ascii="Calibri" w:hAnsi="Calibri"/>
                <w:sz w:val="22"/>
              </w:rPr>
              <w:t>+26.0%</w:t>
            </w:r>
          </w:p>
        </w:tc>
        <w:tc>
          <w:tcPr>
            <w:tcW w:type="dxa" w:w="1234"/>
          </w:tcPr>
          <w:p>
            <w:r>
              <w:rPr>
                <w:rFonts w:ascii="Calibri" w:hAnsi="Calibri"/>
                <w:sz w:val="22"/>
              </w:rPr>
              <w:t>$0.89 ($0.86–$0.92)</w:t>
            </w:r>
          </w:p>
        </w:tc>
        <w:tc>
          <w:tcPr>
            <w:tcW w:type="dxa" w:w="1234"/>
          </w:tcPr>
          <w:p>
            <w:r>
              <w:rPr>
                <w:rFonts w:ascii="Calibri" w:hAnsi="Calibri"/>
                <w:sz w:val="22"/>
              </w:rPr>
              <w:t>+1.9%</w:t>
            </w:r>
          </w:p>
        </w:tc>
      </w:tr>
      <w:tr>
        <w:tc>
          <w:tcPr>
            <w:tcW w:type="dxa" w:w="1234"/>
          </w:tcPr>
          <w:p>
            <w:r>
              <w:rPr>
                <w:rFonts w:ascii="Calibri" w:hAnsi="Calibri"/>
                <w:sz w:val="22"/>
              </w:rPr>
              <w:t>CPI Segment Revenue</w:t>
            </w:r>
          </w:p>
        </w:tc>
        <w:tc>
          <w:tcPr>
            <w:tcW w:type="dxa" w:w="1234"/>
          </w:tcPr>
          <w:p>
            <w:r>
              <w:rPr>
                <w:rFonts w:ascii="Calibri" w:hAnsi="Calibri"/>
                <w:sz w:val="22"/>
              </w:rPr>
              <w:t>$1.847B</w:t>
            </w:r>
          </w:p>
        </w:tc>
        <w:tc>
          <w:tcPr>
            <w:tcW w:type="dxa" w:w="1234"/>
          </w:tcPr>
          <w:p>
            <w:r>
              <w:rPr>
                <w:rFonts w:ascii="Calibri" w:hAnsi="Calibri"/>
                <w:sz w:val="22"/>
              </w:rPr>
              <w:t>$1.626B</w:t>
            </w:r>
          </w:p>
        </w:tc>
        <w:tc>
          <w:tcPr>
            <w:tcW w:type="dxa" w:w="1234"/>
          </w:tcPr>
          <w:p>
            <w:r>
              <w:rPr>
                <w:rFonts w:ascii="Calibri" w:hAnsi="Calibri"/>
                <w:sz w:val="22"/>
              </w:rPr>
              <w:t>$2.046B</w:t>
            </w:r>
          </w:p>
        </w:tc>
        <w:tc>
          <w:tcPr>
            <w:tcW w:type="dxa" w:w="1234"/>
          </w:tcPr>
          <w:p>
            <w:r>
              <w:rPr>
                <w:rFonts w:ascii="Calibri" w:hAnsi="Calibri"/>
                <w:sz w:val="22"/>
              </w:rPr>
              <w:t>+25.8%</w:t>
            </w:r>
          </w:p>
        </w:tc>
        <w:tc>
          <w:tcPr>
            <w:tcW w:type="dxa" w:w="1234"/>
          </w:tcPr>
          <w:p>
            <w:r>
              <w:rPr>
                <w:rFonts w:ascii="Calibri" w:hAnsi="Calibri"/>
                <w:sz w:val="22"/>
              </w:rPr>
              <w:t>Up 20–30% YoY (~$1.95B–$2.11B)</w:t>
            </w:r>
          </w:p>
        </w:tc>
        <w:tc>
          <w:tcPr>
            <w:tcW w:type="dxa" w:w="1234"/>
          </w:tcPr>
          <w:p>
            <w:r>
              <w:rPr>
                <w:rFonts w:ascii="Calibri" w:hAnsi="Calibri"/>
                <w:sz w:val="22"/>
              </w:rPr>
              <w:t>~+2.3% vs. midpoint</w:t>
            </w:r>
          </w:p>
        </w:tc>
      </w:tr>
      <w:tr>
        <w:tc>
          <w:tcPr>
            <w:tcW w:type="dxa" w:w="1234"/>
          </w:tcPr>
          <w:p>
            <w:r>
              <w:rPr>
                <w:rFonts w:ascii="Calibri" w:hAnsi="Calibri"/>
                <w:sz w:val="22"/>
              </w:rPr>
              <w:t>RMS Segment Revenue</w:t>
            </w:r>
          </w:p>
        </w:tc>
        <w:tc>
          <w:tcPr>
            <w:tcW w:type="dxa" w:w="1234"/>
          </w:tcPr>
          <w:p>
            <w:r>
              <w:rPr>
                <w:rFonts w:ascii="Calibri" w:hAnsi="Calibri"/>
                <w:sz w:val="22"/>
              </w:rPr>
              <w:t>$2.713B</w:t>
            </w:r>
          </w:p>
        </w:tc>
        <w:tc>
          <w:tcPr>
            <w:tcW w:type="dxa" w:w="1234"/>
          </w:tcPr>
          <w:p>
            <w:r>
              <w:rPr>
                <w:rFonts w:ascii="Calibri" w:hAnsi="Calibri"/>
                <w:sz w:val="22"/>
              </w:rPr>
              <w:t>$2.391B</w:t>
            </w:r>
          </w:p>
        </w:tc>
        <w:tc>
          <w:tcPr>
            <w:tcW w:type="dxa" w:w="1234"/>
          </w:tcPr>
          <w:p>
            <w:r>
              <w:rPr>
                <w:rFonts w:ascii="Calibri" w:hAnsi="Calibri"/>
                <w:sz w:val="22"/>
              </w:rPr>
              <w:t>$2.653B</w:t>
            </w:r>
          </w:p>
        </w:tc>
        <w:tc>
          <w:tcPr>
            <w:tcW w:type="dxa" w:w="1234"/>
          </w:tcPr>
          <w:p>
            <w:r>
              <w:rPr>
                <w:rFonts w:ascii="Calibri" w:hAnsi="Calibri"/>
                <w:sz w:val="22"/>
              </w:rPr>
              <w:t>+10.9%</w:t>
            </w:r>
          </w:p>
        </w:tc>
        <w:tc>
          <w:tcPr>
            <w:tcW w:type="dxa" w:w="1234"/>
          </w:tcPr>
          <w:p>
            <w:r>
              <w:rPr>
                <w:rFonts w:ascii="Calibri" w:hAnsi="Calibri"/>
                <w:sz w:val="22"/>
              </w:rPr>
              <w:t>Up HSD–LDD YoY</w:t>
            </w:r>
          </w:p>
        </w:tc>
        <w:tc>
          <w:tcPr>
            <w:tcW w:type="dxa" w:w="1234"/>
          </w:tcPr>
          <w:p>
            <w:r>
              <w:rPr>
                <w:rFonts w:ascii="Calibri" w:hAnsi="Calibri"/>
                <w:sz w:val="22"/>
              </w:rPr>
              <w:t>N/A — range guidance</w:t>
            </w:r>
          </w:p>
        </w:tc>
      </w:tr>
      <w:tr>
        <w:tc>
          <w:tcPr>
            <w:tcW w:type="dxa" w:w="1234"/>
          </w:tcPr>
          <w:p>
            <w:r>
              <w:rPr>
                <w:rFonts w:ascii="Calibri" w:hAnsi="Calibri"/>
                <w:sz w:val="22"/>
              </w:rPr>
              <w:t>ITS Segment Revenue</w:t>
            </w:r>
          </w:p>
        </w:tc>
        <w:tc>
          <w:tcPr>
            <w:tcW w:type="dxa" w:w="1234"/>
          </w:tcPr>
          <w:p>
            <w:r>
              <w:rPr>
                <w:rFonts w:ascii="Calibri" w:hAnsi="Calibri"/>
                <w:sz w:val="22"/>
              </w:rPr>
              <w:t>$2.917B</w:t>
            </w:r>
          </w:p>
        </w:tc>
        <w:tc>
          <w:tcPr>
            <w:tcW w:type="dxa" w:w="1234"/>
          </w:tcPr>
          <w:p>
            <w:r>
              <w:rPr>
                <w:rFonts w:ascii="Calibri" w:hAnsi="Calibri"/>
                <w:sz w:val="22"/>
              </w:rPr>
              <w:t>$2.558B</w:t>
            </w:r>
          </w:p>
        </w:tc>
        <w:tc>
          <w:tcPr>
            <w:tcW w:type="dxa" w:w="1234"/>
          </w:tcPr>
          <w:p>
            <w:r>
              <w:rPr>
                <w:rFonts w:ascii="Calibri" w:hAnsi="Calibri"/>
                <w:sz w:val="22"/>
              </w:rPr>
              <w:t>$2.822B</w:t>
            </w:r>
          </w:p>
        </w:tc>
        <w:tc>
          <w:tcPr>
            <w:tcW w:type="dxa" w:w="1234"/>
          </w:tcPr>
          <w:p>
            <w:r>
              <w:rPr>
                <w:rFonts w:ascii="Calibri" w:hAnsi="Calibri"/>
                <w:sz w:val="22"/>
              </w:rPr>
              <w:t>+10.3%</w:t>
            </w:r>
          </w:p>
        </w:tc>
        <w:tc>
          <w:tcPr>
            <w:tcW w:type="dxa" w:w="1234"/>
          </w:tcPr>
          <w:p>
            <w:r>
              <w:rPr>
                <w:rFonts w:ascii="Calibri" w:hAnsi="Calibri"/>
                <w:sz w:val="22"/>
              </w:rPr>
              <w:t>Up HSD–LDD YoY</w:t>
            </w:r>
          </w:p>
        </w:tc>
        <w:tc>
          <w:tcPr>
            <w:tcW w:type="dxa" w:w="1234"/>
          </w:tcPr>
          <w:p>
            <w:r>
              <w:rPr>
                <w:rFonts w:ascii="Calibri" w:hAnsi="Calibri"/>
                <w:sz w:val="22"/>
              </w:rPr>
              <w:t>N/A — range guidance</w:t>
            </w:r>
          </w:p>
        </w:tc>
      </w:tr>
      <w:tr>
        <w:tc>
          <w:tcPr>
            <w:tcW w:type="dxa" w:w="1234"/>
          </w:tcPr>
          <w:p>
            <w:r>
              <w:rPr>
                <w:rFonts w:ascii="Calibri" w:hAnsi="Calibri"/>
                <w:sz w:val="22"/>
              </w:rPr>
              <w:t>Free Cash Flow</w:t>
            </w:r>
          </w:p>
        </w:tc>
        <w:tc>
          <w:tcPr>
            <w:tcW w:type="dxa" w:w="1234"/>
          </w:tcPr>
          <w:p>
            <w:r>
              <w:rPr>
                <w:rFonts w:ascii="Calibri" w:hAnsi="Calibri"/>
                <w:sz w:val="22"/>
              </w:rPr>
              <w:t>$211M</w:t>
            </w:r>
          </w:p>
        </w:tc>
        <w:tc>
          <w:tcPr>
            <w:tcW w:type="dxa" w:w="1234"/>
          </w:tcPr>
          <w:p>
            <w:r>
              <w:rPr>
                <w:rFonts w:ascii="Calibri" w:hAnsi="Calibri"/>
                <w:sz w:val="22"/>
              </w:rPr>
              <w:t>$266M</w:t>
            </w:r>
          </w:p>
        </w:tc>
        <w:tc>
          <w:tcPr>
            <w:tcW w:type="dxa" w:w="1234"/>
          </w:tcPr>
          <w:p>
            <w:r>
              <w:rPr>
                <w:rFonts w:ascii="Calibri" w:hAnsi="Calibri"/>
                <w:sz w:val="22"/>
              </w:rPr>
              <w:t>-$474M (consensus)</w:t>
            </w:r>
          </w:p>
        </w:tc>
        <w:tc>
          <w:tcPr>
            <w:tcW w:type="dxa" w:w="1234"/>
          </w:tcPr>
          <w:p>
            <w:r>
              <w:rPr>
                <w:rFonts w:ascii="Calibri" w:hAnsi="Calibri"/>
                <w:sz w:val="22"/>
              </w:rPr>
              <w:t>N/M (CapEx ramp)</w:t>
            </w:r>
          </w:p>
        </w:tc>
        <w:tc>
          <w:tcPr>
            <w:tcW w:type="dxa" w:w="1234"/>
          </w:tcPr>
          <w:p>
            <w:r>
              <w:rPr>
                <w:rFonts w:ascii="Calibri" w:hAnsi="Calibri"/>
                <w:sz w:val="22"/>
              </w:rPr>
              <w:t>~60% FCF conversion FY27</w:t>
            </w:r>
          </w:p>
        </w:tc>
        <w:tc>
          <w:tcPr>
            <w:tcW w:type="dxa" w:w="1234"/>
          </w:tcPr>
          <w:p>
            <w:r>
              <w:rPr>
                <w:rFonts w:ascii="Calibri" w:hAnsi="Calibri"/>
                <w:sz w:val="22"/>
              </w:rPr>
              <w:t>N/A — annual guide only</w:t>
            </w:r>
          </w:p>
        </w:tc>
      </w:tr>
    </w:tbl>
    <w:p>
      <w:r>
        <w:rPr>
          <w:rFonts w:ascii="Calibri" w:hAnsi="Calibri"/>
          <w:i/>
          <w:color w:val="525866"/>
          <w:sz w:val="22"/>
        </w:rPr>
        <w:t>Sources: Visible Alpha Consensus and Actuals Data; Q4 FY2026 Earnings Call transcript (May 6, 2026). Actuals for Q4 FY26 and Q1 FY26 from Visible Alpha. Q1 FY27 consensus from Visible Alpha as of July 28, 2026. Guidance from Q4 FY26 earnings call. HSD = high single digits; LDD = low double digits. FCF consensus is negative in Q1 FY27 due to elevated CapEx ($1.4B–$1.6B guided for FY27). CPI guidance midpoint calculated as midpoint of +20% to +30% applied to Q1 FY26 CPI actual of $1.626B.</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Total Revenue and Adjusted EPS (Diluted —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FY26 (Mar 2026)</w:t>
            </w:r>
          </w:p>
        </w:tc>
        <w:tc>
          <w:tcPr>
            <w:tcW w:type="dxa" w:w="1440"/>
          </w:tcPr>
          <w:p>
            <w:r>
              <w:rPr>
                <w:rFonts w:ascii="Calibri" w:hAnsi="Calibri"/>
                <w:sz w:val="22"/>
              </w:rPr>
              <w:t>Revenue</w:t>
            </w:r>
          </w:p>
        </w:tc>
        <w:tc>
          <w:tcPr>
            <w:tcW w:type="dxa" w:w="1440"/>
          </w:tcPr>
          <w:p>
            <w:r>
              <w:rPr>
                <w:rFonts w:ascii="Calibri" w:hAnsi="Calibri"/>
                <w:sz w:val="22"/>
              </w:rPr>
              <w:t>$7.477B</w:t>
            </w:r>
          </w:p>
        </w:tc>
        <w:tc>
          <w:tcPr>
            <w:tcW w:type="dxa" w:w="1440"/>
          </w:tcPr>
          <w:p>
            <w:r>
              <w:rPr>
                <w:rFonts w:ascii="Calibri" w:hAnsi="Calibri"/>
                <w:sz w:val="22"/>
              </w:rPr>
              <w:t>$6.956B</w:t>
            </w:r>
          </w:p>
        </w:tc>
        <w:tc>
          <w:tcPr>
            <w:tcW w:type="dxa" w:w="1440"/>
          </w:tcPr>
          <w:p>
            <w:r>
              <w:rPr>
                <w:rFonts w:ascii="Calibri" w:hAnsi="Calibri"/>
                <w:b/>
                <w:color w:val="30A46C"/>
                <w:sz w:val="22"/>
              </w:rPr>
              <w:t>+7.5%</w:t>
            </w:r>
          </w:p>
        </w:tc>
        <w:tc>
          <w:tcPr>
            <w:tcW w:type="dxa" w:w="1440"/>
          </w:tcPr>
          <w:p>
            <w:r>
              <w:rPr>
                <w:rFonts w:ascii="Calibri" w:hAnsi="Calibri"/>
                <w:sz w:val="22"/>
              </w:rPr>
              <w:t>Beat</w:t>
            </w:r>
          </w:p>
        </w:tc>
      </w:tr>
      <w:tr>
        <w:tc>
          <w:tcPr>
            <w:tcW w:type="dxa" w:w="1440"/>
          </w:tcPr>
          <w:p>
            <w:r>
              <w:rPr>
                <w:rFonts w:ascii="Calibri" w:hAnsi="Calibri"/>
                <w:sz w:val="22"/>
              </w:rPr>
              <w:t>Q4 FY26 (Mar 2026)</w:t>
            </w:r>
          </w:p>
        </w:tc>
        <w:tc>
          <w:tcPr>
            <w:tcW w:type="dxa" w:w="1440"/>
          </w:tcPr>
          <w:p>
            <w:r>
              <w:rPr>
                <w:rFonts w:ascii="Calibri" w:hAnsi="Calibri"/>
                <w:sz w:val="22"/>
              </w:rPr>
              <w:t>Adj. EPS</w:t>
            </w:r>
          </w:p>
        </w:tc>
        <w:tc>
          <w:tcPr>
            <w:tcW w:type="dxa" w:w="1440"/>
          </w:tcPr>
          <w:p>
            <w:r>
              <w:rPr>
                <w:rFonts w:ascii="Calibri" w:hAnsi="Calibri"/>
                <w:sz w:val="22"/>
              </w:rPr>
              <w:t>$0.93</w:t>
            </w:r>
          </w:p>
        </w:tc>
        <w:tc>
          <w:tcPr>
            <w:tcW w:type="dxa" w:w="1440"/>
          </w:tcPr>
          <w:p>
            <w:r>
              <w:rPr>
                <w:rFonts w:ascii="Calibri" w:hAnsi="Calibri"/>
                <w:sz w:val="22"/>
              </w:rPr>
              <w:t>$0.870</w:t>
            </w:r>
          </w:p>
        </w:tc>
        <w:tc>
          <w:tcPr>
            <w:tcW w:type="dxa" w:w="1440"/>
          </w:tcPr>
          <w:p>
            <w:r>
              <w:rPr>
                <w:rFonts w:ascii="Calibri" w:hAnsi="Calibri"/>
                <w:b/>
                <w:color w:val="30A46C"/>
                <w:sz w:val="22"/>
              </w:rPr>
              <w:t>+6.9%</w:t>
            </w:r>
          </w:p>
        </w:tc>
        <w:tc>
          <w:tcPr>
            <w:tcW w:type="dxa" w:w="1440"/>
          </w:tcPr>
          <w:p>
            <w:r>
              <w:rPr>
                <w:rFonts w:ascii="Calibri" w:hAnsi="Calibri"/>
                <w:sz w:val="22"/>
              </w:rPr>
              <w:t>Beat</w:t>
            </w:r>
          </w:p>
        </w:tc>
      </w:tr>
      <w:tr>
        <w:tc>
          <w:tcPr>
            <w:tcW w:type="dxa" w:w="1440"/>
          </w:tcPr>
          <w:p>
            <w:r>
              <w:rPr>
                <w:rFonts w:ascii="Calibri" w:hAnsi="Calibri"/>
                <w:sz w:val="22"/>
              </w:rPr>
              <w:t>Q3 FY26 (Dec 2025)</w:t>
            </w:r>
          </w:p>
        </w:tc>
        <w:tc>
          <w:tcPr>
            <w:tcW w:type="dxa" w:w="1440"/>
          </w:tcPr>
          <w:p>
            <w:r>
              <w:rPr>
                <w:rFonts w:ascii="Calibri" w:hAnsi="Calibri"/>
                <w:sz w:val="22"/>
              </w:rPr>
              <w:t>Revenue</w:t>
            </w:r>
          </w:p>
        </w:tc>
        <w:tc>
          <w:tcPr>
            <w:tcW w:type="dxa" w:w="1440"/>
          </w:tcPr>
          <w:p>
            <w:r>
              <w:rPr>
                <w:rFonts w:ascii="Calibri" w:hAnsi="Calibri"/>
                <w:sz w:val="22"/>
              </w:rPr>
              <w:t>$7.058B</w:t>
            </w:r>
          </w:p>
        </w:tc>
        <w:tc>
          <w:tcPr>
            <w:tcW w:type="dxa" w:w="1440"/>
          </w:tcPr>
          <w:p>
            <w:r>
              <w:rPr>
                <w:rFonts w:ascii="Calibri" w:hAnsi="Calibri"/>
                <w:sz w:val="22"/>
              </w:rPr>
              <w:t>$6.814B</w:t>
            </w:r>
          </w:p>
        </w:tc>
        <w:tc>
          <w:tcPr>
            <w:tcW w:type="dxa" w:w="1440"/>
          </w:tcPr>
          <w:p>
            <w:r>
              <w:rPr>
                <w:rFonts w:ascii="Calibri" w:hAnsi="Calibri"/>
                <w:b/>
                <w:color w:val="30A46C"/>
                <w:sz w:val="22"/>
              </w:rPr>
              <w:t>+3.6%</w:t>
            </w:r>
          </w:p>
        </w:tc>
        <w:tc>
          <w:tcPr>
            <w:tcW w:type="dxa" w:w="1440"/>
          </w:tcPr>
          <w:p>
            <w:r>
              <w:rPr>
                <w:rFonts w:ascii="Calibri" w:hAnsi="Calibri"/>
                <w:sz w:val="22"/>
              </w:rPr>
              <w:t>Beat</w:t>
            </w:r>
          </w:p>
        </w:tc>
      </w:tr>
      <w:tr>
        <w:tc>
          <w:tcPr>
            <w:tcW w:type="dxa" w:w="1440"/>
          </w:tcPr>
          <w:p>
            <w:r>
              <w:rPr>
                <w:rFonts w:ascii="Calibri" w:hAnsi="Calibri"/>
                <w:sz w:val="22"/>
              </w:rPr>
              <w:t>Q3 FY26 (Dec 2025)</w:t>
            </w:r>
          </w:p>
        </w:tc>
        <w:tc>
          <w:tcPr>
            <w:tcW w:type="dxa" w:w="1440"/>
          </w:tcPr>
          <w:p>
            <w:r>
              <w:rPr>
                <w:rFonts w:ascii="Calibri" w:hAnsi="Calibri"/>
                <w:sz w:val="22"/>
              </w:rPr>
              <w:t>Adj. EPS</w:t>
            </w:r>
          </w:p>
        </w:tc>
        <w:tc>
          <w:tcPr>
            <w:tcW w:type="dxa" w:w="1440"/>
          </w:tcPr>
          <w:p>
            <w:r>
              <w:rPr>
                <w:rFonts w:ascii="Calibri" w:hAnsi="Calibri"/>
                <w:sz w:val="22"/>
              </w:rPr>
              <w:t>$0.87</w:t>
            </w:r>
          </w:p>
        </w:tc>
        <w:tc>
          <w:tcPr>
            <w:tcW w:type="dxa" w:w="1440"/>
          </w:tcPr>
          <w:p>
            <w:r>
              <w:rPr>
                <w:rFonts w:ascii="Calibri" w:hAnsi="Calibri"/>
                <w:sz w:val="22"/>
              </w:rPr>
              <w:t>$0.779</w:t>
            </w:r>
          </w:p>
        </w:tc>
        <w:tc>
          <w:tcPr>
            <w:tcW w:type="dxa" w:w="1440"/>
          </w:tcPr>
          <w:p>
            <w:r>
              <w:rPr>
                <w:rFonts w:ascii="Calibri" w:hAnsi="Calibri"/>
                <w:b/>
                <w:color w:val="30A46C"/>
                <w:sz w:val="22"/>
              </w:rPr>
              <w:t>+11.7%</w:t>
            </w:r>
          </w:p>
        </w:tc>
        <w:tc>
          <w:tcPr>
            <w:tcW w:type="dxa" w:w="1440"/>
          </w:tcPr>
          <w:p>
            <w:r>
              <w:rPr>
                <w:rFonts w:ascii="Calibri" w:hAnsi="Calibri"/>
                <w:sz w:val="22"/>
              </w:rPr>
              <w:t>Beat</w:t>
            </w:r>
          </w:p>
        </w:tc>
      </w:tr>
      <w:tr>
        <w:tc>
          <w:tcPr>
            <w:tcW w:type="dxa" w:w="1440"/>
          </w:tcPr>
          <w:p>
            <w:r>
              <w:rPr>
                <w:rFonts w:ascii="Calibri" w:hAnsi="Calibri"/>
                <w:sz w:val="22"/>
              </w:rPr>
              <w:t>Q2 FY26 (Sep 2025)</w:t>
            </w:r>
          </w:p>
        </w:tc>
        <w:tc>
          <w:tcPr>
            <w:tcW w:type="dxa" w:w="1440"/>
          </w:tcPr>
          <w:p>
            <w:r>
              <w:rPr>
                <w:rFonts w:ascii="Calibri" w:hAnsi="Calibri"/>
                <w:sz w:val="22"/>
              </w:rPr>
              <w:t>Revenue</w:t>
            </w:r>
          </w:p>
        </w:tc>
        <w:tc>
          <w:tcPr>
            <w:tcW w:type="dxa" w:w="1440"/>
          </w:tcPr>
          <w:p>
            <w:r>
              <w:rPr>
                <w:rFonts w:ascii="Calibri" w:hAnsi="Calibri"/>
                <w:sz w:val="22"/>
              </w:rPr>
              <w:t>$6.804B</w:t>
            </w:r>
          </w:p>
        </w:tc>
        <w:tc>
          <w:tcPr>
            <w:tcW w:type="dxa" w:w="1440"/>
          </w:tcPr>
          <w:p>
            <w:r>
              <w:rPr>
                <w:rFonts w:ascii="Calibri" w:hAnsi="Calibri"/>
                <w:sz w:val="22"/>
              </w:rPr>
              <w:t>$6.699B</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Q2 FY26 (Sep 2025)</w:t>
            </w:r>
          </w:p>
        </w:tc>
        <w:tc>
          <w:tcPr>
            <w:tcW w:type="dxa" w:w="1440"/>
          </w:tcPr>
          <w:p>
            <w:r>
              <w:rPr>
                <w:rFonts w:ascii="Calibri" w:hAnsi="Calibri"/>
                <w:sz w:val="22"/>
              </w:rPr>
              <w:t>Adj. EPS</w:t>
            </w:r>
          </w:p>
        </w:tc>
        <w:tc>
          <w:tcPr>
            <w:tcW w:type="dxa" w:w="1440"/>
          </w:tcPr>
          <w:p>
            <w:r>
              <w:rPr>
                <w:rFonts w:ascii="Calibri" w:hAnsi="Calibri"/>
                <w:sz w:val="22"/>
              </w:rPr>
              <w:t>$0.79</w:t>
            </w:r>
          </w:p>
        </w:tc>
        <w:tc>
          <w:tcPr>
            <w:tcW w:type="dxa" w:w="1440"/>
          </w:tcPr>
          <w:p>
            <w:r>
              <w:rPr>
                <w:rFonts w:ascii="Calibri" w:hAnsi="Calibri"/>
                <w:sz w:val="22"/>
              </w:rPr>
              <w:t>$0.751</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Q1 FY26 (Jun 2025)</w:t>
            </w:r>
          </w:p>
        </w:tc>
        <w:tc>
          <w:tcPr>
            <w:tcW w:type="dxa" w:w="1440"/>
          </w:tcPr>
          <w:p>
            <w:r>
              <w:rPr>
                <w:rFonts w:ascii="Calibri" w:hAnsi="Calibri"/>
                <w:sz w:val="22"/>
              </w:rPr>
              <w:t>Revenue</w:t>
            </w:r>
          </w:p>
        </w:tc>
        <w:tc>
          <w:tcPr>
            <w:tcW w:type="dxa" w:w="1440"/>
          </w:tcPr>
          <w:p>
            <w:r>
              <w:rPr>
                <w:rFonts w:ascii="Calibri" w:hAnsi="Calibri"/>
                <w:sz w:val="22"/>
              </w:rPr>
              <w:t>$6.575B</w:t>
            </w:r>
          </w:p>
        </w:tc>
        <w:tc>
          <w:tcPr>
            <w:tcW w:type="dxa" w:w="1440"/>
          </w:tcPr>
          <w:p>
            <w:r>
              <w:rPr>
                <w:rFonts w:ascii="Calibri" w:hAnsi="Calibri"/>
                <w:sz w:val="22"/>
              </w:rPr>
              <w:t>$6.268B</w:t>
            </w:r>
          </w:p>
        </w:tc>
        <w:tc>
          <w:tcPr>
            <w:tcW w:type="dxa" w:w="1440"/>
          </w:tcPr>
          <w:p>
            <w:r>
              <w:rPr>
                <w:rFonts w:ascii="Calibri" w:hAnsi="Calibri"/>
                <w:b/>
                <w:color w:val="30A46C"/>
                <w:sz w:val="22"/>
              </w:rPr>
              <w:t>+4.9%</w:t>
            </w:r>
          </w:p>
        </w:tc>
        <w:tc>
          <w:tcPr>
            <w:tcW w:type="dxa" w:w="1440"/>
          </w:tcPr>
          <w:p>
            <w:r>
              <w:rPr>
                <w:rFonts w:ascii="Calibri" w:hAnsi="Calibri"/>
                <w:sz w:val="22"/>
              </w:rPr>
              <w:t>Beat</w:t>
            </w:r>
          </w:p>
        </w:tc>
      </w:tr>
      <w:tr>
        <w:tc>
          <w:tcPr>
            <w:tcW w:type="dxa" w:w="1440"/>
          </w:tcPr>
          <w:p>
            <w:r>
              <w:rPr>
                <w:rFonts w:ascii="Calibri" w:hAnsi="Calibri"/>
                <w:sz w:val="22"/>
              </w:rPr>
              <w:t>Q1 FY26 (Jun 2025)</w:t>
            </w:r>
          </w:p>
        </w:tc>
        <w:tc>
          <w:tcPr>
            <w:tcW w:type="dxa" w:w="1440"/>
          </w:tcPr>
          <w:p>
            <w:r>
              <w:rPr>
                <w:rFonts w:ascii="Calibri" w:hAnsi="Calibri"/>
                <w:sz w:val="22"/>
              </w:rPr>
              <w:t>Adj. EPS</w:t>
            </w:r>
          </w:p>
        </w:tc>
        <w:tc>
          <w:tcPr>
            <w:tcW w:type="dxa" w:w="1440"/>
          </w:tcPr>
          <w:p>
            <w:r>
              <w:rPr>
                <w:rFonts w:ascii="Calibri" w:hAnsi="Calibri"/>
                <w:sz w:val="22"/>
              </w:rPr>
              <w:t>$0.72</w:t>
            </w:r>
          </w:p>
        </w:tc>
        <w:tc>
          <w:tcPr>
            <w:tcW w:type="dxa" w:w="1440"/>
          </w:tcPr>
          <w:p>
            <w:r>
              <w:rPr>
                <w:rFonts w:ascii="Calibri" w:hAnsi="Calibri"/>
                <w:sz w:val="22"/>
              </w:rPr>
              <w:t>$0.630</w:t>
            </w:r>
          </w:p>
        </w:tc>
        <w:tc>
          <w:tcPr>
            <w:tcW w:type="dxa" w:w="1440"/>
          </w:tcPr>
          <w:p>
            <w:r>
              <w:rPr>
                <w:rFonts w:ascii="Calibri" w:hAnsi="Calibri"/>
                <w:b/>
                <w:color w:val="30A46C"/>
                <w:sz w:val="22"/>
              </w:rPr>
              <w:t>+14.3%</w:t>
            </w:r>
          </w:p>
        </w:tc>
        <w:tc>
          <w:tcPr>
            <w:tcW w:type="dxa" w:w="1440"/>
          </w:tcPr>
          <w:p>
            <w:r>
              <w:rPr>
                <w:rFonts w:ascii="Calibri" w:hAnsi="Calibri"/>
                <w:sz w:val="22"/>
              </w:rPr>
              <w:t>Beat</w:t>
            </w:r>
          </w:p>
        </w:tc>
      </w:tr>
      <w:tr>
        <w:tc>
          <w:tcPr>
            <w:tcW w:type="dxa" w:w="1440"/>
          </w:tcPr>
          <w:p>
            <w:r>
              <w:rPr>
                <w:rFonts w:ascii="Calibri" w:hAnsi="Calibri"/>
                <w:sz w:val="22"/>
              </w:rPr>
              <w:t>Q4 FY25 (Mar 2025)</w:t>
            </w:r>
          </w:p>
        </w:tc>
        <w:tc>
          <w:tcPr>
            <w:tcW w:type="dxa" w:w="1440"/>
          </w:tcPr>
          <w:p>
            <w:r>
              <w:rPr>
                <w:rFonts w:ascii="Calibri" w:hAnsi="Calibri"/>
                <w:sz w:val="22"/>
              </w:rPr>
              <w:t>Revenue</w:t>
            </w:r>
          </w:p>
        </w:tc>
        <w:tc>
          <w:tcPr>
            <w:tcW w:type="dxa" w:w="1440"/>
          </w:tcPr>
          <w:p>
            <w:r>
              <w:rPr>
                <w:rFonts w:ascii="Calibri" w:hAnsi="Calibri"/>
                <w:sz w:val="22"/>
              </w:rPr>
              <w:t>$6.398B</w:t>
            </w:r>
          </w:p>
        </w:tc>
        <w:tc>
          <w:tcPr>
            <w:tcW w:type="dxa" w:w="1440"/>
          </w:tcPr>
          <w:p>
            <w:r>
              <w:rPr>
                <w:rFonts w:ascii="Calibri" w:hAnsi="Calibri"/>
                <w:sz w:val="22"/>
              </w:rPr>
              <w:t>$6.234B</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Q4 FY25 (Mar 2025)</w:t>
            </w:r>
          </w:p>
        </w:tc>
        <w:tc>
          <w:tcPr>
            <w:tcW w:type="dxa" w:w="1440"/>
          </w:tcPr>
          <w:p>
            <w:r>
              <w:rPr>
                <w:rFonts w:ascii="Calibri" w:hAnsi="Calibri"/>
                <w:sz w:val="22"/>
              </w:rPr>
              <w:t>Adj. EPS</w:t>
            </w:r>
          </w:p>
        </w:tc>
        <w:tc>
          <w:tcPr>
            <w:tcW w:type="dxa" w:w="1440"/>
          </w:tcPr>
          <w:p>
            <w:r>
              <w:rPr>
                <w:rFonts w:ascii="Calibri" w:hAnsi="Calibri"/>
                <w:sz w:val="22"/>
              </w:rPr>
              <w:t>$0.73</w:t>
            </w:r>
          </w:p>
        </w:tc>
        <w:tc>
          <w:tcPr>
            <w:tcW w:type="dxa" w:w="1440"/>
          </w:tcPr>
          <w:p>
            <w:r>
              <w:rPr>
                <w:rFonts w:ascii="Calibri" w:hAnsi="Calibri"/>
                <w:sz w:val="22"/>
              </w:rPr>
              <w:t>$0.694</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Q3 FY25 (Dec 2024)</w:t>
            </w:r>
          </w:p>
        </w:tc>
        <w:tc>
          <w:tcPr>
            <w:tcW w:type="dxa" w:w="1440"/>
          </w:tcPr>
          <w:p>
            <w:r>
              <w:rPr>
                <w:rFonts w:ascii="Calibri" w:hAnsi="Calibri"/>
                <w:sz w:val="22"/>
              </w:rPr>
              <w:t>Revenue</w:t>
            </w:r>
          </w:p>
        </w:tc>
        <w:tc>
          <w:tcPr>
            <w:tcW w:type="dxa" w:w="1440"/>
          </w:tcPr>
          <w:p>
            <w:r>
              <w:rPr>
                <w:rFonts w:ascii="Calibri" w:hAnsi="Calibri"/>
                <w:sz w:val="22"/>
              </w:rPr>
              <w:t>$6.556B</w:t>
            </w:r>
          </w:p>
        </w:tc>
        <w:tc>
          <w:tcPr>
            <w:tcW w:type="dxa" w:w="1440"/>
          </w:tcPr>
          <w:p>
            <w:r>
              <w:rPr>
                <w:rFonts w:ascii="Calibri" w:hAnsi="Calibri"/>
                <w:sz w:val="22"/>
              </w:rPr>
              <w:t>$6.205B</w:t>
            </w:r>
          </w:p>
        </w:tc>
        <w:tc>
          <w:tcPr>
            <w:tcW w:type="dxa" w:w="1440"/>
          </w:tcPr>
          <w:p>
            <w:r>
              <w:rPr>
                <w:rFonts w:ascii="Calibri" w:hAnsi="Calibri"/>
                <w:b/>
                <w:color w:val="30A46C"/>
                <w:sz w:val="22"/>
              </w:rPr>
              <w:t>+5.7%</w:t>
            </w:r>
          </w:p>
        </w:tc>
        <w:tc>
          <w:tcPr>
            <w:tcW w:type="dxa" w:w="1440"/>
          </w:tcPr>
          <w:p>
            <w:r>
              <w:rPr>
                <w:rFonts w:ascii="Calibri" w:hAnsi="Calibri"/>
                <w:sz w:val="22"/>
              </w:rPr>
              <w:t>Beat</w:t>
            </w:r>
          </w:p>
        </w:tc>
      </w:tr>
      <w:tr>
        <w:tc>
          <w:tcPr>
            <w:tcW w:type="dxa" w:w="1440"/>
          </w:tcPr>
          <w:p>
            <w:r>
              <w:rPr>
                <w:rFonts w:ascii="Calibri" w:hAnsi="Calibri"/>
                <w:sz w:val="22"/>
              </w:rPr>
              <w:t>Q3 FY25 (Dec 2024)</w:t>
            </w:r>
          </w:p>
        </w:tc>
        <w:tc>
          <w:tcPr>
            <w:tcW w:type="dxa" w:w="1440"/>
          </w:tcPr>
          <w:p>
            <w:r>
              <w:rPr>
                <w:rFonts w:ascii="Calibri" w:hAnsi="Calibri"/>
                <w:sz w:val="22"/>
              </w:rPr>
              <w:t>Adj. EPS</w:t>
            </w:r>
          </w:p>
        </w:tc>
        <w:tc>
          <w:tcPr>
            <w:tcW w:type="dxa" w:w="1440"/>
          </w:tcPr>
          <w:p>
            <w:r>
              <w:rPr>
                <w:rFonts w:ascii="Calibri" w:hAnsi="Calibri"/>
                <w:sz w:val="22"/>
              </w:rPr>
              <w:t>$0.77</w:t>
            </w:r>
          </w:p>
        </w:tc>
        <w:tc>
          <w:tcPr>
            <w:tcW w:type="dxa" w:w="1440"/>
          </w:tcPr>
          <w:p>
            <w:r>
              <w:rPr>
                <w:rFonts w:ascii="Calibri" w:hAnsi="Calibri"/>
                <w:sz w:val="22"/>
              </w:rPr>
              <w:t>$0.629</w:t>
            </w:r>
          </w:p>
        </w:tc>
        <w:tc>
          <w:tcPr>
            <w:tcW w:type="dxa" w:w="1440"/>
          </w:tcPr>
          <w:p>
            <w:r>
              <w:rPr>
                <w:rFonts w:ascii="Calibri" w:hAnsi="Calibri"/>
                <w:b/>
                <w:color w:val="30A46C"/>
                <w:sz w:val="22"/>
              </w:rPr>
              <w:t>+22.4%</w:t>
            </w:r>
          </w:p>
        </w:tc>
        <w:tc>
          <w:tcPr>
            <w:tcW w:type="dxa" w:w="1440"/>
          </w:tcPr>
          <w:p>
            <w:r>
              <w:rPr>
                <w:rFonts w:ascii="Calibri" w:hAnsi="Calibri"/>
                <w:sz w:val="22"/>
              </w:rPr>
              <w:t>Beat</w:t>
            </w:r>
          </w:p>
        </w:tc>
      </w:tr>
      <w:tr>
        <w:tc>
          <w:tcPr>
            <w:tcW w:type="dxa" w:w="1440"/>
          </w:tcPr>
          <w:p>
            <w:r>
              <w:rPr>
                <w:rFonts w:ascii="Calibri" w:hAnsi="Calibri"/>
                <w:sz w:val="22"/>
              </w:rPr>
              <w:t>Q2 FY25 (Sep 2024)</w:t>
            </w:r>
          </w:p>
        </w:tc>
        <w:tc>
          <w:tcPr>
            <w:tcW w:type="dxa" w:w="1440"/>
          </w:tcPr>
          <w:p>
            <w:r>
              <w:rPr>
                <w:rFonts w:ascii="Calibri" w:hAnsi="Calibri"/>
                <w:sz w:val="22"/>
              </w:rPr>
              <w:t>Revenue</w:t>
            </w:r>
          </w:p>
        </w:tc>
        <w:tc>
          <w:tcPr>
            <w:tcW w:type="dxa" w:w="1440"/>
          </w:tcPr>
          <w:p>
            <w:r>
              <w:rPr>
                <w:rFonts w:ascii="Calibri" w:hAnsi="Calibri"/>
                <w:sz w:val="22"/>
              </w:rPr>
              <w:t>$6.545B</w:t>
            </w:r>
          </w:p>
        </w:tc>
        <w:tc>
          <w:tcPr>
            <w:tcW w:type="dxa" w:w="1440"/>
          </w:tcPr>
          <w:p>
            <w:r>
              <w:rPr>
                <w:rFonts w:ascii="Calibri" w:hAnsi="Calibri"/>
                <w:sz w:val="22"/>
              </w:rPr>
              <w:t>$6.492B</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FY25 (Sep 2024)</w:t>
            </w:r>
          </w:p>
        </w:tc>
        <w:tc>
          <w:tcPr>
            <w:tcW w:type="dxa" w:w="1440"/>
          </w:tcPr>
          <w:p>
            <w:r>
              <w:rPr>
                <w:rFonts w:ascii="Calibri" w:hAnsi="Calibri"/>
                <w:sz w:val="22"/>
              </w:rPr>
              <w:t>Adj. EPS</w:t>
            </w:r>
          </w:p>
        </w:tc>
        <w:tc>
          <w:tcPr>
            <w:tcW w:type="dxa" w:w="1440"/>
          </w:tcPr>
          <w:p>
            <w:r>
              <w:rPr>
                <w:rFonts w:ascii="Calibri" w:hAnsi="Calibri"/>
                <w:sz w:val="22"/>
              </w:rPr>
              <w:t>$0.64</w:t>
            </w:r>
          </w:p>
        </w:tc>
        <w:tc>
          <w:tcPr>
            <w:tcW w:type="dxa" w:w="1440"/>
          </w:tcPr>
          <w:p>
            <w:r>
              <w:rPr>
                <w:rFonts w:ascii="Calibri" w:hAnsi="Calibri"/>
                <w:sz w:val="22"/>
              </w:rPr>
              <w:t>$0.560</w:t>
            </w:r>
          </w:p>
        </w:tc>
        <w:tc>
          <w:tcPr>
            <w:tcW w:type="dxa" w:w="1440"/>
          </w:tcPr>
          <w:p>
            <w:r>
              <w:rPr>
                <w:rFonts w:ascii="Calibri" w:hAnsi="Calibri"/>
                <w:b/>
                <w:color w:val="30A46C"/>
                <w:sz w:val="22"/>
              </w:rPr>
              <w:t>+14.3%</w:t>
            </w:r>
          </w:p>
        </w:tc>
        <w:tc>
          <w:tcPr>
            <w:tcW w:type="dxa" w:w="1440"/>
          </w:tcPr>
          <w:p>
            <w:r>
              <w:rPr>
                <w:rFonts w:ascii="Calibri" w:hAnsi="Calibri"/>
                <w:sz w:val="22"/>
              </w:rPr>
              <w:t>Beat</w:t>
            </w:r>
          </w:p>
        </w:tc>
      </w:tr>
      <w:tr>
        <w:tc>
          <w:tcPr>
            <w:tcW w:type="dxa" w:w="1440"/>
          </w:tcPr>
          <w:p>
            <w:r>
              <w:rPr>
                <w:rFonts w:ascii="Calibri" w:hAnsi="Calibri"/>
                <w:sz w:val="22"/>
              </w:rPr>
              <w:t>Q1 FY25 (Jun 2024)</w:t>
            </w:r>
          </w:p>
        </w:tc>
        <w:tc>
          <w:tcPr>
            <w:tcW w:type="dxa" w:w="1440"/>
          </w:tcPr>
          <w:p>
            <w:r>
              <w:rPr>
                <w:rFonts w:ascii="Calibri" w:hAnsi="Calibri"/>
                <w:sz w:val="22"/>
              </w:rPr>
              <w:t>Revenue</w:t>
            </w:r>
          </w:p>
        </w:tc>
        <w:tc>
          <w:tcPr>
            <w:tcW w:type="dxa" w:w="1440"/>
          </w:tcPr>
          <w:p>
            <w:r>
              <w:rPr>
                <w:rFonts w:ascii="Calibri" w:hAnsi="Calibri"/>
                <w:sz w:val="22"/>
              </w:rPr>
              <w:t>$6.314B</w:t>
            </w:r>
          </w:p>
        </w:tc>
        <w:tc>
          <w:tcPr>
            <w:tcW w:type="dxa" w:w="1440"/>
          </w:tcPr>
          <w:p>
            <w:r>
              <w:rPr>
                <w:rFonts w:ascii="Calibri" w:hAnsi="Calibri"/>
                <w:sz w:val="22"/>
              </w:rPr>
              <w:t>$5.894B</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Q1 FY25 (Jun 2024)</w:t>
            </w:r>
          </w:p>
        </w:tc>
        <w:tc>
          <w:tcPr>
            <w:tcW w:type="dxa" w:w="1440"/>
          </w:tcPr>
          <w:p>
            <w:r>
              <w:rPr>
                <w:rFonts w:ascii="Calibri" w:hAnsi="Calibri"/>
                <w:sz w:val="22"/>
              </w:rPr>
              <w:t>Adj. EPS</w:t>
            </w:r>
          </w:p>
        </w:tc>
        <w:tc>
          <w:tcPr>
            <w:tcW w:type="dxa" w:w="1440"/>
          </w:tcPr>
          <w:p>
            <w:r>
              <w:rPr>
                <w:rFonts w:ascii="Calibri" w:hAnsi="Calibri"/>
                <w:sz w:val="22"/>
              </w:rPr>
              <w:t>$0.51</w:t>
            </w:r>
          </w:p>
        </w:tc>
        <w:tc>
          <w:tcPr>
            <w:tcW w:type="dxa" w:w="1440"/>
          </w:tcPr>
          <w:p>
            <w:r>
              <w:rPr>
                <w:rFonts w:ascii="Calibri" w:hAnsi="Calibri"/>
                <w:sz w:val="22"/>
              </w:rPr>
              <w:t>$0.417</w:t>
            </w:r>
          </w:p>
        </w:tc>
        <w:tc>
          <w:tcPr>
            <w:tcW w:type="dxa" w:w="1440"/>
          </w:tcPr>
          <w:p>
            <w:r>
              <w:rPr>
                <w:rFonts w:ascii="Calibri" w:hAnsi="Calibri"/>
                <w:b/>
                <w:color w:val="30A46C"/>
                <w:sz w:val="22"/>
              </w:rPr>
              <w:t>+22.3%</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FLEX has beaten consensus on both revenue and adjusted EPS in every one of the last 8 quarters, with EPS beats averaging ~12% and revenue beats averaging ~4% — a remarkably consistent track record that sets a high bar for the Street to set a beatable number heading into Q1 FY27.</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post-earnings guidance revisions have been issued since the May 5 print. </w:t>
      </w:r>
      <w:r>
        <w:rPr>
          <w:rFonts w:ascii="Calibri" w:hAnsi="Calibri"/>
          <w:b/>
          <w:color w:val="525866"/>
          <w:sz w:val="22"/>
        </w:rPr>
        <w:t>Initial guidance remains the current guidance</w:t>
      </w:r>
      <w:r>
        <w:rPr>
          <w:rFonts w:ascii="Calibri" w:hAnsi="Calibri"/>
          <w:color w:val="525866"/>
          <w:sz w:val="22"/>
        </w:rPr>
        <w:t xml:space="preserve"> — management's tone has been unchanged and no 8-K, conference, or pre-announcement has altered the numbers. The FY27 Exec Bonus Plan (approved June 12) is consistent with the guided revenue, profit, and cash flow framework.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FY27 Revenue</w:t>
            </w:r>
          </w:p>
        </w:tc>
        <w:tc>
          <w:tcPr>
            <w:tcW w:type="dxa" w:w="1728"/>
          </w:tcPr>
          <w:p>
            <w:r>
              <w:rPr>
                <w:rFonts w:ascii="Calibri" w:hAnsi="Calibri"/>
                <w:sz w:val="22"/>
              </w:rPr>
              <w:t>$7.35B – $7.65B (midpoint $7.50B), up 14% YoY</w:t>
            </w:r>
          </w:p>
        </w:tc>
        <w:tc>
          <w:tcPr>
            <w:tcW w:type="dxa" w:w="1728"/>
          </w:tcPr>
          <w:p>
            <w:r>
              <w:rPr>
                <w:rFonts w:ascii="Calibri" w:hAnsi="Calibri"/>
                <w:sz w:val="22"/>
              </w:rPr>
              <w:t>—</w:t>
            </w:r>
          </w:p>
        </w:tc>
        <w:tc>
          <w:tcPr>
            <w:tcW w:type="dxa" w:w="1728"/>
          </w:tcPr>
          <w:p>
            <w:r>
              <w:rPr>
                <w:rFonts w:ascii="Calibri" w:hAnsi="Calibri"/>
                <w:sz w:val="22"/>
              </w:rPr>
              <w:t>$7.520B</w:t>
            </w:r>
          </w:p>
        </w:tc>
        <w:tc>
          <w:tcPr>
            <w:tcW w:type="dxa" w:w="1728"/>
          </w:tcPr>
          <w:p>
            <w:r>
              <w:rPr>
                <w:rFonts w:ascii="Calibri" w:hAnsi="Calibri"/>
                <w:sz w:val="22"/>
              </w:rPr>
              <w:t>No post-earnings revision; consensus +0.3% above midpoint</w:t>
            </w:r>
          </w:p>
        </w:tc>
      </w:tr>
      <w:tr>
        <w:tc>
          <w:tcPr>
            <w:tcW w:type="dxa" w:w="1728"/>
          </w:tcPr>
          <w:p>
            <w:r>
              <w:rPr>
                <w:rFonts w:ascii="Calibri" w:hAnsi="Calibri"/>
                <w:sz w:val="22"/>
              </w:rPr>
              <w:t>Q1 FY27 Adj. Operating Income</w:t>
            </w:r>
          </w:p>
        </w:tc>
        <w:tc>
          <w:tcPr>
            <w:tcW w:type="dxa" w:w="1728"/>
          </w:tcPr>
          <w:p>
            <w:r>
              <w:rPr>
                <w:rFonts w:ascii="Calibri" w:hAnsi="Calibri"/>
                <w:sz w:val="22"/>
              </w:rPr>
              <w:t>$469M – $499M (midpoint $484M)</w:t>
            </w:r>
          </w:p>
        </w:tc>
        <w:tc>
          <w:tcPr>
            <w:tcW w:type="dxa" w:w="1728"/>
          </w:tcPr>
          <w:p>
            <w:r>
              <w:rPr>
                <w:rFonts w:ascii="Calibri" w:hAnsi="Calibri"/>
                <w:sz w:val="22"/>
              </w:rPr>
              <w:t>—</w:t>
            </w:r>
          </w:p>
        </w:tc>
        <w:tc>
          <w:tcPr>
            <w:tcW w:type="dxa" w:w="1728"/>
          </w:tcPr>
          <w:p>
            <w:r>
              <w:rPr>
                <w:rFonts w:ascii="Calibri" w:hAnsi="Calibri"/>
                <w:sz w:val="22"/>
              </w:rPr>
              <w:t>$493M</w:t>
            </w:r>
          </w:p>
        </w:tc>
        <w:tc>
          <w:tcPr>
            <w:tcW w:type="dxa" w:w="1728"/>
          </w:tcPr>
          <w:p>
            <w:r>
              <w:rPr>
                <w:rFonts w:ascii="Calibri" w:hAnsi="Calibri"/>
                <w:sz w:val="22"/>
              </w:rPr>
              <w:t>No revision; consensus +1.9% above midpoint</w:t>
            </w:r>
          </w:p>
        </w:tc>
      </w:tr>
      <w:tr>
        <w:tc>
          <w:tcPr>
            <w:tcW w:type="dxa" w:w="1728"/>
          </w:tcPr>
          <w:p>
            <w:r>
              <w:rPr>
                <w:rFonts w:ascii="Calibri" w:hAnsi="Calibri"/>
                <w:sz w:val="22"/>
              </w:rPr>
              <w:t>Q1 FY27 Adj. EPS</w:t>
            </w:r>
          </w:p>
        </w:tc>
        <w:tc>
          <w:tcPr>
            <w:tcW w:type="dxa" w:w="1728"/>
          </w:tcPr>
          <w:p>
            <w:r>
              <w:rPr>
                <w:rFonts w:ascii="Calibri" w:hAnsi="Calibri"/>
                <w:sz w:val="22"/>
              </w:rPr>
              <w:t>$0.86 – $0.92 (midpoint $0.89), up 24% YoY; ~374M diluted shares</w:t>
            </w:r>
          </w:p>
        </w:tc>
        <w:tc>
          <w:tcPr>
            <w:tcW w:type="dxa" w:w="1728"/>
          </w:tcPr>
          <w:p>
            <w:r>
              <w:rPr>
                <w:rFonts w:ascii="Calibri" w:hAnsi="Calibri"/>
                <w:sz w:val="22"/>
              </w:rPr>
              <w:t>—</w:t>
            </w:r>
          </w:p>
        </w:tc>
        <w:tc>
          <w:tcPr>
            <w:tcW w:type="dxa" w:w="1728"/>
          </w:tcPr>
          <w:p>
            <w:r>
              <w:rPr>
                <w:rFonts w:ascii="Calibri" w:hAnsi="Calibri"/>
                <w:sz w:val="22"/>
              </w:rPr>
              <w:t>$0.907</w:t>
            </w:r>
          </w:p>
        </w:tc>
        <w:tc>
          <w:tcPr>
            <w:tcW w:type="dxa" w:w="1728"/>
          </w:tcPr>
          <w:p>
            <w:r>
              <w:rPr>
                <w:rFonts w:ascii="Calibri" w:hAnsi="Calibri"/>
                <w:sz w:val="22"/>
              </w:rPr>
              <w:t>No revision; consensus +1.9% above midpoint</w:t>
            </w:r>
          </w:p>
        </w:tc>
      </w:tr>
      <w:tr>
        <w:tc>
          <w:tcPr>
            <w:tcW w:type="dxa" w:w="1728"/>
          </w:tcPr>
          <w:p>
            <w:r>
              <w:rPr>
                <w:rFonts w:ascii="Calibri" w:hAnsi="Calibri"/>
                <w:sz w:val="22"/>
              </w:rPr>
              <w:t>Q1 FY27 CPI Revenue</w:t>
            </w:r>
          </w:p>
        </w:tc>
        <w:tc>
          <w:tcPr>
            <w:tcW w:type="dxa" w:w="1728"/>
          </w:tcPr>
          <w:p>
            <w:r>
              <w:rPr>
                <w:rFonts w:ascii="Calibri" w:hAnsi="Calibri"/>
                <w:sz w:val="22"/>
              </w:rPr>
              <w:t>Up 20–30% YoY (midpoint ~$2.03B)</w:t>
            </w:r>
          </w:p>
        </w:tc>
        <w:tc>
          <w:tcPr>
            <w:tcW w:type="dxa" w:w="1728"/>
          </w:tcPr>
          <w:p>
            <w:r>
              <w:rPr>
                <w:rFonts w:ascii="Calibri" w:hAnsi="Calibri"/>
                <w:sz w:val="22"/>
              </w:rPr>
              <w:t>—</w:t>
            </w:r>
          </w:p>
        </w:tc>
        <w:tc>
          <w:tcPr>
            <w:tcW w:type="dxa" w:w="1728"/>
          </w:tcPr>
          <w:p>
            <w:r>
              <w:rPr>
                <w:rFonts w:ascii="Calibri" w:hAnsi="Calibri"/>
                <w:sz w:val="22"/>
              </w:rPr>
              <w:t>$2.046B</w:t>
            </w:r>
          </w:p>
        </w:tc>
        <w:tc>
          <w:tcPr>
            <w:tcW w:type="dxa" w:w="1728"/>
          </w:tcPr>
          <w:p>
            <w:r>
              <w:rPr>
                <w:rFonts w:ascii="Calibri" w:hAnsi="Calibri"/>
                <w:sz w:val="22"/>
              </w:rPr>
              <w:t>No revision; consensus near midpoint; H2 ramp is the key watch item</w:t>
            </w:r>
          </w:p>
        </w:tc>
      </w:tr>
      <w:tr>
        <w:tc>
          <w:tcPr>
            <w:tcW w:type="dxa" w:w="1728"/>
          </w:tcPr>
          <w:p>
            <w:r>
              <w:rPr>
                <w:rFonts w:ascii="Calibri" w:hAnsi="Calibri"/>
                <w:sz w:val="22"/>
              </w:rPr>
              <w:t>Q1 FY27 RMS Revenue</w:t>
            </w:r>
          </w:p>
        </w:tc>
        <w:tc>
          <w:tcPr>
            <w:tcW w:type="dxa" w:w="1728"/>
          </w:tcPr>
          <w:p>
            <w:r>
              <w:rPr>
                <w:rFonts w:ascii="Calibri" w:hAnsi="Calibri"/>
                <w:sz w:val="22"/>
              </w:rPr>
              <w:t>Up HSD–LDD YoY; driven by industrial &amp; healthcare</w:t>
            </w:r>
          </w:p>
        </w:tc>
        <w:tc>
          <w:tcPr>
            <w:tcW w:type="dxa" w:w="1728"/>
          </w:tcPr>
          <w:p>
            <w:r>
              <w:rPr>
                <w:rFonts w:ascii="Calibri" w:hAnsi="Calibri"/>
                <w:sz w:val="22"/>
              </w:rPr>
              <w:t>—</w:t>
            </w:r>
          </w:p>
        </w:tc>
        <w:tc>
          <w:tcPr>
            <w:tcW w:type="dxa" w:w="1728"/>
          </w:tcPr>
          <w:p>
            <w:r>
              <w:rPr>
                <w:rFonts w:ascii="Calibri" w:hAnsi="Calibri"/>
                <w:sz w:val="22"/>
              </w:rPr>
              <w:t>$2.653B</w:t>
            </w:r>
          </w:p>
        </w:tc>
        <w:tc>
          <w:tcPr>
            <w:tcW w:type="dxa" w:w="1728"/>
          </w:tcPr>
          <w:p>
            <w:r>
              <w:rPr>
                <w:rFonts w:ascii="Calibri" w:hAnsi="Calibri"/>
                <w:sz w:val="22"/>
              </w:rPr>
              <w:t>No revision; automotive described as 'stabilization'</w:t>
            </w:r>
          </w:p>
        </w:tc>
      </w:tr>
      <w:tr>
        <w:tc>
          <w:tcPr>
            <w:tcW w:type="dxa" w:w="1728"/>
          </w:tcPr>
          <w:p>
            <w:r>
              <w:rPr>
                <w:rFonts w:ascii="Calibri" w:hAnsi="Calibri"/>
                <w:sz w:val="22"/>
              </w:rPr>
              <w:t>Q1 FY27 ITS Revenue</w:t>
            </w:r>
          </w:p>
        </w:tc>
        <w:tc>
          <w:tcPr>
            <w:tcW w:type="dxa" w:w="1728"/>
          </w:tcPr>
          <w:p>
            <w:r>
              <w:rPr>
                <w:rFonts w:ascii="Calibri" w:hAnsi="Calibri"/>
                <w:sz w:val="22"/>
              </w:rPr>
              <w:t>Up HSD–LDD YoY; comms strength offset by lifestyle softness</w:t>
            </w:r>
          </w:p>
        </w:tc>
        <w:tc>
          <w:tcPr>
            <w:tcW w:type="dxa" w:w="1728"/>
          </w:tcPr>
          <w:p>
            <w:r>
              <w:rPr>
                <w:rFonts w:ascii="Calibri" w:hAnsi="Calibri"/>
                <w:sz w:val="22"/>
              </w:rPr>
              <w:t>—</w:t>
            </w:r>
          </w:p>
        </w:tc>
        <w:tc>
          <w:tcPr>
            <w:tcW w:type="dxa" w:w="1728"/>
          </w:tcPr>
          <w:p>
            <w:r>
              <w:rPr>
                <w:rFonts w:ascii="Calibri" w:hAnsi="Calibri"/>
                <w:sz w:val="22"/>
              </w:rPr>
              <w:t>$2.822B</w:t>
            </w:r>
          </w:p>
        </w:tc>
        <w:tc>
          <w:tcPr>
            <w:tcW w:type="dxa" w:w="1728"/>
          </w:tcPr>
          <w:p>
            <w:r>
              <w:rPr>
                <w:rFonts w:ascii="Calibri" w:hAnsi="Calibri"/>
                <w:sz w:val="22"/>
              </w:rPr>
              <w:t>No revision; lifestyle deemphasis continues</w:t>
            </w:r>
          </w:p>
        </w:tc>
      </w:tr>
      <w:tr>
        <w:tc>
          <w:tcPr>
            <w:tcW w:type="dxa" w:w="1728"/>
          </w:tcPr>
          <w:p>
            <w:r>
              <w:rPr>
                <w:rFonts w:ascii="Calibri" w:hAnsi="Calibri"/>
                <w:sz w:val="22"/>
              </w:rPr>
              <w:t>FY27 Revenue</w:t>
            </w:r>
          </w:p>
        </w:tc>
        <w:tc>
          <w:tcPr>
            <w:tcW w:type="dxa" w:w="1728"/>
          </w:tcPr>
          <w:p>
            <w:r>
              <w:rPr>
                <w:rFonts w:ascii="Calibri" w:hAnsi="Calibri"/>
                <w:sz w:val="22"/>
              </w:rPr>
              <w:t>$32.3B – $33.8B (midpoint $33.05B), up 18% YoY</w:t>
            </w:r>
          </w:p>
        </w:tc>
        <w:tc>
          <w:tcPr>
            <w:tcW w:type="dxa" w:w="1728"/>
          </w:tcPr>
          <w:p>
            <w:r>
              <w:rPr>
                <w:rFonts w:ascii="Calibri" w:hAnsi="Calibri"/>
                <w:sz w:val="22"/>
              </w:rPr>
              <w:t>—</w:t>
            </w:r>
          </w:p>
        </w:tc>
        <w:tc>
          <w:tcPr>
            <w:tcW w:type="dxa" w:w="1728"/>
          </w:tcPr>
          <w:p>
            <w:r>
              <w:rPr>
                <w:rFonts w:ascii="Calibri" w:hAnsi="Calibri"/>
                <w:sz w:val="22"/>
              </w:rPr>
              <w:t>$33.217B</w:t>
            </w:r>
          </w:p>
        </w:tc>
        <w:tc>
          <w:tcPr>
            <w:tcW w:type="dxa" w:w="1728"/>
          </w:tcPr>
          <w:p>
            <w:r>
              <w:rPr>
                <w:rFonts w:ascii="Calibri" w:hAnsi="Calibri"/>
                <w:sz w:val="22"/>
              </w:rPr>
              <w:t>No revision; consensus +0.5% above midpoint</w:t>
            </w:r>
          </w:p>
        </w:tc>
      </w:tr>
      <w:tr>
        <w:tc>
          <w:tcPr>
            <w:tcW w:type="dxa" w:w="1728"/>
          </w:tcPr>
          <w:p>
            <w:r>
              <w:rPr>
                <w:rFonts w:ascii="Calibri" w:hAnsi="Calibri"/>
                <w:sz w:val="22"/>
              </w:rPr>
              <w:t>FY27 Adj. EPS</w:t>
            </w:r>
          </w:p>
        </w:tc>
        <w:tc>
          <w:tcPr>
            <w:tcW w:type="dxa" w:w="1728"/>
          </w:tcPr>
          <w:p>
            <w:r>
              <w:rPr>
                <w:rFonts w:ascii="Calibri" w:hAnsi="Calibri"/>
                <w:sz w:val="22"/>
              </w:rPr>
              <w:t>$4.21 – $4.51 (midpoint $4.36), up 32% YoY</w:t>
            </w:r>
          </w:p>
        </w:tc>
        <w:tc>
          <w:tcPr>
            <w:tcW w:type="dxa" w:w="1728"/>
          </w:tcPr>
          <w:p>
            <w:r>
              <w:rPr>
                <w:rFonts w:ascii="Calibri" w:hAnsi="Calibri"/>
                <w:sz w:val="22"/>
              </w:rPr>
              <w:t>—</w:t>
            </w:r>
          </w:p>
        </w:tc>
        <w:tc>
          <w:tcPr>
            <w:tcW w:type="dxa" w:w="1728"/>
          </w:tcPr>
          <w:p>
            <w:r>
              <w:rPr>
                <w:rFonts w:ascii="Calibri" w:hAnsi="Calibri"/>
                <w:sz w:val="22"/>
              </w:rPr>
              <w:t>$4.466</w:t>
            </w:r>
          </w:p>
        </w:tc>
        <w:tc>
          <w:tcPr>
            <w:tcW w:type="dxa" w:w="1728"/>
          </w:tcPr>
          <w:p>
            <w:r>
              <w:rPr>
                <w:rFonts w:ascii="Calibri" w:hAnsi="Calibri"/>
                <w:sz w:val="22"/>
              </w:rPr>
              <w:t>No revision; consensus +2.4% above midpoint</w:t>
            </w:r>
          </w:p>
        </w:tc>
      </w:tr>
      <w:tr>
        <w:tc>
          <w:tcPr>
            <w:tcW w:type="dxa" w:w="1728"/>
          </w:tcPr>
          <w:p>
            <w:r>
              <w:rPr>
                <w:rFonts w:ascii="Calibri" w:hAnsi="Calibri"/>
                <w:sz w:val="22"/>
              </w:rPr>
              <w:t>FY27 Adj. Operating Margin</w:t>
            </w:r>
          </w:p>
        </w:tc>
        <w:tc>
          <w:tcPr>
            <w:tcW w:type="dxa" w:w="1728"/>
          </w:tcPr>
          <w:p>
            <w:r>
              <w:rPr>
                <w:rFonts w:ascii="Calibri" w:hAnsi="Calibri"/>
                <w:sz w:val="22"/>
              </w:rPr>
              <w:t>7.0% – 7.1% (up ~80bps YoY); driven by CPI margin recoupment</w:t>
            </w:r>
          </w:p>
        </w:tc>
        <w:tc>
          <w:tcPr>
            <w:tcW w:type="dxa" w:w="1728"/>
          </w:tcPr>
          <w:p>
            <w:r>
              <w:rPr>
                <w:rFonts w:ascii="Calibri" w:hAnsi="Calibri"/>
                <w:sz w:val="22"/>
              </w:rPr>
              <w:t>—</w:t>
            </w:r>
          </w:p>
        </w:tc>
        <w:tc>
          <w:tcPr>
            <w:tcW w:type="dxa" w:w="1728"/>
          </w:tcPr>
          <w:p>
            <w:r>
              <w:rPr>
                <w:rFonts w:ascii="Calibri" w:hAnsi="Calibri"/>
                <w:sz w:val="22"/>
              </w:rPr>
              <w:t>~7.1% (implied)</w:t>
            </w:r>
          </w:p>
        </w:tc>
        <w:tc>
          <w:tcPr>
            <w:tcW w:type="dxa" w:w="1728"/>
          </w:tcPr>
          <w:p>
            <w:r>
              <w:rPr>
                <w:rFonts w:ascii="Calibri" w:hAnsi="Calibri"/>
                <w:sz w:val="22"/>
              </w:rPr>
              <w:t>No revision; 100bps CPI margin recoupment is key driver</w:t>
            </w:r>
          </w:p>
        </w:tc>
      </w:tr>
      <w:tr>
        <w:tc>
          <w:tcPr>
            <w:tcW w:type="dxa" w:w="1728"/>
          </w:tcPr>
          <w:p>
            <w:r>
              <w:rPr>
                <w:rFonts w:ascii="Calibri" w:hAnsi="Calibri"/>
                <w:sz w:val="22"/>
              </w:rPr>
              <w:t>FY27 CapEx</w:t>
            </w:r>
          </w:p>
        </w:tc>
        <w:tc>
          <w:tcPr>
            <w:tcW w:type="dxa" w:w="1728"/>
          </w:tcPr>
          <w:p>
            <w:r>
              <w:rPr>
                <w:rFonts w:ascii="Calibri" w:hAnsi="Calibri"/>
                <w:sz w:val="22"/>
              </w:rPr>
              <w:t>$1.4B – $1.6B (~2x historical rate as % of revenue)</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Elevated for cloud/embedded power capacity; normalizes in FY28</w:t>
            </w:r>
          </w:p>
        </w:tc>
      </w:tr>
      <w:tr>
        <w:tc>
          <w:tcPr>
            <w:tcW w:type="dxa" w:w="1728"/>
          </w:tcPr>
          <w:p>
            <w:r>
              <w:rPr>
                <w:rFonts w:ascii="Calibri" w:hAnsi="Calibri"/>
                <w:sz w:val="22"/>
              </w:rPr>
              <w:t>FY27 FCF Conversion</w:t>
            </w:r>
          </w:p>
        </w:tc>
        <w:tc>
          <w:tcPr>
            <w:tcW w:type="dxa" w:w="1728"/>
          </w:tcPr>
          <w:p>
            <w:r>
              <w:rPr>
                <w:rFonts w:ascii="Calibri" w:hAnsi="Calibri"/>
                <w:sz w:val="22"/>
              </w:rPr>
              <w:t>~60% (excl. spin transaction costs)</w:t>
            </w:r>
          </w:p>
        </w:tc>
        <w:tc>
          <w:tcPr>
            <w:tcW w:type="dxa" w:w="1728"/>
          </w:tcPr>
          <w:p>
            <w:r>
              <w:rPr>
                <w:rFonts w:ascii="Calibri" w:hAnsi="Calibri"/>
                <w:sz w:val="22"/>
              </w:rPr>
              <w:t>—</w:t>
            </w:r>
          </w:p>
        </w:tc>
        <w:tc>
          <w:tcPr>
            <w:tcW w:type="dxa" w:w="1728"/>
          </w:tcPr>
          <w:p>
            <w:r>
              <w:rPr>
                <w:rFonts w:ascii="Calibri" w:hAnsi="Calibri"/>
                <w:sz w:val="22"/>
              </w:rPr>
              <w:t>$122M (FY27 consensus)</w:t>
            </w:r>
          </w:p>
        </w:tc>
        <w:tc>
          <w:tcPr>
            <w:tcW w:type="dxa" w:w="1728"/>
          </w:tcPr>
          <w:p>
            <w:r>
              <w:rPr>
                <w:rFonts w:ascii="Calibri" w:hAnsi="Calibri"/>
                <w:sz w:val="22"/>
              </w:rPr>
              <w:t>Consensus FCF well below guidance conversion rate; CapEx timing uncertainty</w:t>
            </w:r>
          </w:p>
        </w:tc>
      </w:tr>
      <w:tr>
        <w:tc>
          <w:tcPr>
            <w:tcW w:type="dxa" w:w="1728"/>
          </w:tcPr>
          <w:p>
            <w:r>
              <w:rPr>
                <w:rFonts w:ascii="Calibri" w:hAnsi="Calibri"/>
                <w:sz w:val="22"/>
              </w:rPr>
              <w:t>FY27 CPI Revenue Growth</w:t>
            </w:r>
          </w:p>
        </w:tc>
        <w:tc>
          <w:tcPr>
            <w:tcW w:type="dxa" w:w="1728"/>
          </w:tcPr>
          <w:p>
            <w:r>
              <w:rPr>
                <w:rFonts w:ascii="Calibri" w:hAnsi="Calibri"/>
                <w:sz w:val="22"/>
              </w:rPr>
              <w:t>Up 65–75% YoY; power growth outpacing cloud; H2 ramp-weighted</w:t>
            </w:r>
          </w:p>
        </w:tc>
        <w:tc>
          <w:tcPr>
            <w:tcW w:type="dxa" w:w="1728"/>
          </w:tcPr>
          <w:p>
            <w:r>
              <w:rPr>
                <w:rFonts w:ascii="Calibri" w:hAnsi="Calibri"/>
                <w:sz w:val="22"/>
              </w:rPr>
              <w:t>—</w:t>
            </w:r>
          </w:p>
        </w:tc>
        <w:tc>
          <w:tcPr>
            <w:tcW w:type="dxa" w:w="1728"/>
          </w:tcPr>
          <w:p>
            <w:r>
              <w:rPr>
                <w:rFonts w:ascii="Calibri" w:hAnsi="Calibri"/>
                <w:sz w:val="22"/>
              </w:rPr>
              <w:t>$11.295B (FY27 CPI consensus)</w:t>
            </w:r>
          </w:p>
        </w:tc>
        <w:tc>
          <w:tcPr>
            <w:tcW w:type="dxa" w:w="1728"/>
          </w:tcPr>
          <w:p>
            <w:r>
              <w:rPr>
                <w:rFonts w:ascii="Calibri" w:hAnsi="Calibri"/>
                <w:sz w:val="22"/>
              </w:rPr>
              <w:t>No revision; FY28 CPI guided up 80%+; Google multi-year contract underpins</w:t>
            </w:r>
          </w:p>
        </w:tc>
      </w:tr>
    </w:tbl>
    <w:p>
      <w:r>
        <w:rPr>
          <w:rFonts w:ascii="Calibri" w:hAnsi="Calibri"/>
          <w:i/>
          <w:color w:val="525866"/>
          <w:sz w:val="22"/>
        </w:rPr>
        <w:t>Source: Q4 FY2026 Earnings Call transcript (May 6, 2026); Visible Alpha Consensus and Actuals Data; 8-K filed June 12, 2026 (FY27 Exec Bonus Plan).</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May 5 post-earnings baseline — the Street has not materially revised Q1 FY27 or FY27 numbers up or down. </w:t>
      </w:r>
      <w:r>
        <w:rPr>
          <w:rFonts w:ascii="Calibri" w:hAnsi="Calibri"/>
          <w:b/>
          <w:color w:val="525866"/>
          <w:sz w:val="22"/>
        </w:rPr>
        <w:t>Consensus sits modestly above guidance midpoints on all key metrics</w:t>
      </w:r>
      <w:r>
        <w:rPr>
          <w:rFonts w:ascii="Calibri" w:hAnsi="Calibri"/>
          <w:color w:val="525866"/>
          <w:sz w:val="22"/>
        </w:rPr>
        <w:t>, suggesting a slight cushion rather than a stretched bar. The gap between FY27 FCF consensus and the guided 60% conversion rate is the one notable divergence, reflecting uncertainty around CapEx timing.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as of May 12, 2026 (+5 days post-earnings baseline)</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5,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Q1 FY27</w:t>
            </w:r>
          </w:p>
        </w:tc>
        <w:tc>
          <w:tcPr>
            <w:tcW w:type="dxa" w:w="1080"/>
          </w:tcPr>
          <w:p>
            <w:r>
              <w:rPr>
                <w:rFonts w:ascii="Calibri" w:hAnsi="Calibri"/>
                <w:sz w:val="22"/>
              </w:rPr>
              <w:t>$7.516B</w:t>
            </w:r>
          </w:p>
        </w:tc>
        <w:tc>
          <w:tcPr>
            <w:tcW w:type="dxa" w:w="1080"/>
          </w:tcPr>
          <w:p>
            <w:r>
              <w:rPr>
                <w:rFonts w:ascii="Calibri" w:hAnsi="Calibri"/>
                <w:sz w:val="22"/>
              </w:rPr>
              <w:t>$7.520B</w:t>
            </w:r>
          </w:p>
        </w:tc>
        <w:tc>
          <w:tcPr>
            <w:tcW w:type="dxa" w:w="1080"/>
          </w:tcPr>
          <w:p>
            <w:r>
              <w:rPr>
                <w:rFonts w:ascii="Calibri" w:hAnsi="Calibri"/>
                <w:sz w:val="22"/>
              </w:rPr>
              <w:t>+0.1%</w:t>
            </w:r>
          </w:p>
        </w:tc>
        <w:tc>
          <w:tcPr>
            <w:tcW w:type="dxa" w:w="1080"/>
          </w:tcPr>
          <w:p>
            <w:r>
              <w:rPr>
                <w:rFonts w:ascii="Calibri" w:hAnsi="Calibri"/>
                <w:sz w:val="22"/>
              </w:rPr>
              <w:t>$7.500B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r>
        <w:tc>
          <w:tcPr>
            <w:tcW w:type="dxa" w:w="1080"/>
          </w:tcPr>
          <w:p>
            <w:r>
              <w:rPr>
                <w:rFonts w:ascii="Calibri" w:hAnsi="Calibri"/>
                <w:sz w:val="22"/>
              </w:rPr>
              <w:t>Adj. EPS — Q1 FY27</w:t>
            </w:r>
          </w:p>
        </w:tc>
        <w:tc>
          <w:tcPr>
            <w:tcW w:type="dxa" w:w="1080"/>
          </w:tcPr>
          <w:p>
            <w:r>
              <w:rPr>
                <w:rFonts w:ascii="Calibri" w:hAnsi="Calibri"/>
                <w:sz w:val="22"/>
              </w:rPr>
              <w:t>$0.893</w:t>
            </w:r>
          </w:p>
        </w:tc>
        <w:tc>
          <w:tcPr>
            <w:tcW w:type="dxa" w:w="1080"/>
          </w:tcPr>
          <w:p>
            <w:r>
              <w:rPr>
                <w:rFonts w:ascii="Calibri" w:hAnsi="Calibri"/>
                <w:sz w:val="22"/>
              </w:rPr>
              <w:t>$0.907</w:t>
            </w:r>
          </w:p>
        </w:tc>
        <w:tc>
          <w:tcPr>
            <w:tcW w:type="dxa" w:w="1080"/>
          </w:tcPr>
          <w:p>
            <w:r>
              <w:rPr>
                <w:rFonts w:ascii="Calibri" w:hAnsi="Calibri"/>
                <w:sz w:val="22"/>
              </w:rPr>
              <w:t>+1.6%</w:t>
            </w:r>
          </w:p>
        </w:tc>
        <w:tc>
          <w:tcPr>
            <w:tcW w:type="dxa" w:w="1080"/>
          </w:tcPr>
          <w:p>
            <w:r>
              <w:rPr>
                <w:rFonts w:ascii="Calibri" w:hAnsi="Calibri"/>
                <w:sz w:val="22"/>
              </w:rPr>
              <w:t>$0.89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w:t>
            </w:r>
          </w:p>
        </w:tc>
      </w:tr>
      <w:tr>
        <w:tc>
          <w:tcPr>
            <w:tcW w:type="dxa" w:w="1080"/>
          </w:tcPr>
          <w:p>
            <w:r>
              <w:rPr>
                <w:rFonts w:ascii="Calibri" w:hAnsi="Calibri"/>
                <w:sz w:val="22"/>
              </w:rPr>
              <w:t>Revenue — FY27</w:t>
            </w:r>
          </w:p>
        </w:tc>
        <w:tc>
          <w:tcPr>
            <w:tcW w:type="dxa" w:w="1080"/>
          </w:tcPr>
          <w:p>
            <w:r>
              <w:rPr>
                <w:rFonts w:ascii="Calibri" w:hAnsi="Calibri"/>
                <w:sz w:val="22"/>
              </w:rPr>
              <w:t>$33.149B</w:t>
            </w:r>
          </w:p>
        </w:tc>
        <w:tc>
          <w:tcPr>
            <w:tcW w:type="dxa" w:w="1080"/>
          </w:tcPr>
          <w:p>
            <w:r>
              <w:rPr>
                <w:rFonts w:ascii="Calibri" w:hAnsi="Calibri"/>
                <w:sz w:val="22"/>
              </w:rPr>
              <w:t>$33.217B</w:t>
            </w:r>
          </w:p>
        </w:tc>
        <w:tc>
          <w:tcPr>
            <w:tcW w:type="dxa" w:w="1080"/>
          </w:tcPr>
          <w:p>
            <w:r>
              <w:rPr>
                <w:rFonts w:ascii="Calibri" w:hAnsi="Calibri"/>
                <w:sz w:val="22"/>
              </w:rPr>
              <w:t>+0.2%</w:t>
            </w:r>
          </w:p>
        </w:tc>
        <w:tc>
          <w:tcPr>
            <w:tcW w:type="dxa" w:w="1080"/>
          </w:tcPr>
          <w:p>
            <w:r>
              <w:rPr>
                <w:rFonts w:ascii="Calibri" w:hAnsi="Calibri"/>
                <w:sz w:val="22"/>
              </w:rPr>
              <w:t>$33.05B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EPS — FY27</w:t>
            </w:r>
          </w:p>
        </w:tc>
        <w:tc>
          <w:tcPr>
            <w:tcW w:type="dxa" w:w="1080"/>
          </w:tcPr>
          <w:p>
            <w:r>
              <w:rPr>
                <w:rFonts w:ascii="Calibri" w:hAnsi="Calibri"/>
                <w:sz w:val="22"/>
              </w:rPr>
              <w:t>$4.394</w:t>
            </w:r>
          </w:p>
        </w:tc>
        <w:tc>
          <w:tcPr>
            <w:tcW w:type="dxa" w:w="1080"/>
          </w:tcPr>
          <w:p>
            <w:r>
              <w:rPr>
                <w:rFonts w:ascii="Calibri" w:hAnsi="Calibri"/>
                <w:sz w:val="22"/>
              </w:rPr>
              <w:t>$4.466</w:t>
            </w:r>
          </w:p>
        </w:tc>
        <w:tc>
          <w:tcPr>
            <w:tcW w:type="dxa" w:w="1080"/>
          </w:tcPr>
          <w:p>
            <w:r>
              <w:rPr>
                <w:rFonts w:ascii="Calibri" w:hAnsi="Calibri"/>
                <w:sz w:val="22"/>
              </w:rPr>
              <w:t>+1.6%</w:t>
            </w:r>
          </w:p>
        </w:tc>
        <w:tc>
          <w:tcPr>
            <w:tcW w:type="dxa" w:w="1080"/>
          </w:tcPr>
          <w:p>
            <w:r>
              <w:rPr>
                <w:rFonts w:ascii="Calibri" w:hAnsi="Calibri"/>
                <w:sz w:val="22"/>
              </w:rPr>
              <w:t>$4.36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+2.4%</w:t>
            </w:r>
          </w:p>
        </w:tc>
      </w:tr>
      <w:tr>
        <w:tc>
          <w:tcPr>
            <w:tcW w:type="dxa" w:w="1080"/>
          </w:tcPr>
          <w:p>
            <w:r>
              <w:rPr>
                <w:rFonts w:ascii="Calibri" w:hAnsi="Calibri"/>
                <w:sz w:val="22"/>
              </w:rPr>
              <w:t>CPI Revenue — Q1 FY27</w:t>
            </w:r>
          </w:p>
        </w:tc>
        <w:tc>
          <w:tcPr>
            <w:tcW w:type="dxa" w:w="1080"/>
          </w:tcPr>
          <w:p>
            <w:r>
              <w:rPr>
                <w:rFonts w:ascii="Calibri" w:hAnsi="Calibri"/>
                <w:sz w:val="22"/>
              </w:rPr>
              <w:t>$2.046B</w:t>
            </w:r>
          </w:p>
        </w:tc>
        <w:tc>
          <w:tcPr>
            <w:tcW w:type="dxa" w:w="1080"/>
          </w:tcPr>
          <w:p>
            <w:r>
              <w:rPr>
                <w:rFonts w:ascii="Calibri" w:hAnsi="Calibri"/>
                <w:sz w:val="22"/>
              </w:rPr>
              <w:t>$2.046B</w:t>
            </w:r>
          </w:p>
        </w:tc>
        <w:tc>
          <w:tcPr>
            <w:tcW w:type="dxa" w:w="1080"/>
          </w:tcPr>
          <w:p>
            <w:r>
              <w:rPr>
                <w:rFonts w:ascii="Calibri" w:hAnsi="Calibri"/>
                <w:sz w:val="22"/>
              </w:rPr>
              <w:t>0.0%</w:t>
            </w:r>
          </w:p>
        </w:tc>
        <w:tc>
          <w:tcPr>
            <w:tcW w:type="dxa" w:w="1080"/>
          </w:tcPr>
          <w:p>
            <w:r>
              <w:rPr>
                <w:rFonts w:ascii="Calibri" w:hAnsi="Calibri"/>
                <w:sz w:val="22"/>
              </w:rPr>
              <w:t>~$2.03B (midpoint, +25%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w:t>
            </w:r>
          </w:p>
        </w:tc>
      </w:tr>
      <w:tr>
        <w:tc>
          <w:tcPr>
            <w:tcW w:type="dxa" w:w="1080"/>
          </w:tcPr>
          <w:p>
            <w:r>
              <w:rPr>
                <w:rFonts w:ascii="Calibri" w:hAnsi="Calibri"/>
                <w:sz w:val="22"/>
              </w:rPr>
              <w:t>CPI Revenue — FY27</w:t>
            </w:r>
          </w:p>
        </w:tc>
        <w:tc>
          <w:tcPr>
            <w:tcW w:type="dxa" w:w="1080"/>
          </w:tcPr>
          <w:p>
            <w:r>
              <w:rPr>
                <w:rFonts w:ascii="Calibri" w:hAnsi="Calibri"/>
                <w:sz w:val="22"/>
              </w:rPr>
              <w:t>$11.251B</w:t>
            </w:r>
          </w:p>
        </w:tc>
        <w:tc>
          <w:tcPr>
            <w:tcW w:type="dxa" w:w="1080"/>
          </w:tcPr>
          <w:p>
            <w:r>
              <w:rPr>
                <w:rFonts w:ascii="Calibri" w:hAnsi="Calibri"/>
                <w:sz w:val="22"/>
              </w:rPr>
              <w:t>$11.295B</w:t>
            </w:r>
          </w:p>
        </w:tc>
        <w:tc>
          <w:tcPr>
            <w:tcW w:type="dxa" w:w="1080"/>
          </w:tcPr>
          <w:p>
            <w:r>
              <w:rPr>
                <w:rFonts w:ascii="Calibri" w:hAnsi="Calibri"/>
                <w:sz w:val="22"/>
              </w:rPr>
              <w:t>+0.4%</w:t>
            </w:r>
          </w:p>
        </w:tc>
        <w:tc>
          <w:tcPr>
            <w:tcW w:type="dxa" w:w="1080"/>
          </w:tcPr>
          <w:p>
            <w:r>
              <w:rPr>
                <w:rFonts w:ascii="Calibri" w:hAnsi="Calibri"/>
                <w:sz w:val="22"/>
              </w:rPr>
              <w:t>Up 65–75% YoY (~$10.9B–$11.6B)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w:t>
            </w:r>
          </w:p>
        </w:tc>
      </w:tr>
      <w:tr>
        <w:tc>
          <w:tcPr>
            <w:tcW w:type="dxa" w:w="1080"/>
          </w:tcPr>
          <w:p>
            <w:r>
              <w:rPr>
                <w:rFonts w:ascii="Calibri" w:hAnsi="Calibri"/>
                <w:sz w:val="22"/>
              </w:rPr>
              <w:t>Adj. Operating Income — Q1 FY27</w:t>
            </w:r>
          </w:p>
        </w:tc>
        <w:tc>
          <w:tcPr>
            <w:tcW w:type="dxa" w:w="1080"/>
          </w:tcPr>
          <w:p>
            <w:r>
              <w:rPr>
                <w:rFonts w:ascii="Calibri" w:hAnsi="Calibri"/>
                <w:sz w:val="22"/>
              </w:rPr>
              <w:t>$488M</w:t>
            </w:r>
          </w:p>
        </w:tc>
        <w:tc>
          <w:tcPr>
            <w:tcW w:type="dxa" w:w="1080"/>
          </w:tcPr>
          <w:p>
            <w:r>
              <w:rPr>
                <w:rFonts w:ascii="Calibri" w:hAnsi="Calibri"/>
                <w:sz w:val="22"/>
              </w:rPr>
              <w:t>$493M</w:t>
            </w:r>
          </w:p>
        </w:tc>
        <w:tc>
          <w:tcPr>
            <w:tcW w:type="dxa" w:w="1080"/>
          </w:tcPr>
          <w:p>
            <w:r>
              <w:rPr>
                <w:rFonts w:ascii="Calibri" w:hAnsi="Calibri"/>
                <w:sz w:val="22"/>
              </w:rPr>
              <w:t>+1.0%</w:t>
            </w:r>
          </w:p>
        </w:tc>
        <w:tc>
          <w:tcPr>
            <w:tcW w:type="dxa" w:w="1080"/>
          </w:tcPr>
          <w:p>
            <w:r>
              <w:rPr>
                <w:rFonts w:ascii="Calibri" w:hAnsi="Calibri"/>
                <w:sz w:val="22"/>
              </w:rPr>
              <w:t>$484M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+1.9%</w:t>
            </w:r>
          </w:p>
        </w:tc>
      </w:tr>
    </w:tbl>
    <w:p>
      <w:r>
        <w:rPr>
          <w:rFonts w:ascii="Calibri" w:hAnsi="Calibri"/>
          <w:i/>
          <w:color w:val="525866"/>
          <w:sz w:val="22"/>
        </w:rPr>
        <w:t>Estimates have barely moved since the May 12 post-earnings baseline — the largest revision is a +1.6% drift upward in Q1 FY27 and FY27 EPS, consistent with modest multiple expansion rather than fundamental re-rating. Consensus tracking guidance midpoints closely means the bar is neither stretched nor easy; execution on CPI ramp timing is the key variable the Street is waiting to see confirmed.</w:t>
      </w:r>
    </w:p>
    <w:p>
      <w:r>
        <w:rPr>
          <w:rFonts w:ascii="Calibri" w:hAnsi="Calibri"/>
          <w:i/>
          <w:color w:val="525866"/>
          <w:sz w:val="22"/>
        </w:rPr>
        <w:t>Source: Visible Alpha Consensus and Actuals Data (as-of date May 12, 2026 and current as of July 28, 2026); Q4 FY2026 Earnings Call transcript (May 6,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FLEX surged ~68% from the pre-earnings close ($96.45) to a peak of ~$162 in late June, driven almost entirely by the CPI spin-off announcement and aggressive FY27/FY28 CPI growth targets — a sentiment and multiple re-rating event, not an estimate revision story. </w:t>
      </w:r>
      <w:r>
        <w:rPr>
          <w:rFonts w:ascii="Calibri" w:hAnsi="Calibri"/>
          <w:b/>
          <w:color w:val="525866"/>
          <w:sz w:val="22"/>
        </w:rPr>
        <w:t>The subsequent ~28% retracement to ~$117 reflects profit-taking and CPI ramp timing uncertainty</w:t>
      </w:r>
      <w:r>
        <w:rPr>
          <w:rFonts w:ascii="Calibri" w:hAnsi="Calibri"/>
          <w:color w:val="525866"/>
          <w:sz w:val="22"/>
        </w:rPr>
        <w:t>, not a fundamental deterioration, and has outperformed XLK (+3.3%) and SPY (+2.4%) since the earnings date.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FLEX vs. XLK (Technology Select Sector ETF) vs. S&amp;P 500 (SPY) — Indexed to 100 at May 5, 2026 (last earnings date). Source: Stock Price Data (Yahoo Finance).</w:t>
      </w:r>
    </w:p>
    <w:p>
      <w:r>
        <w:rPr>
          <w:rFonts w:ascii="Calibri" w:hAnsi="Calibri"/>
          <w:i/>
          <w:color w:val="525866"/>
          <w:sz w:val="22"/>
        </w:rPr>
        <w:t>Sector ETF used: XLK (Technology Select Sector SPDR Fund). XLK is appropriate for FLEX given its classification as an electronic manufacturing services / technology hardware company. FLEX is a component of the S&amp;P 500 and is broadly covered within the technology hardware and equipment sub-sector.</w:t>
      </w:r>
    </w:p>
    <w:p>
      <w:r>
        <w:rPr>
          <w:rFonts w:ascii="Calibri" w:hAnsi="Calibri"/>
          <w:b/>
          <w:color w:val="525866"/>
          <w:sz w:val="22"/>
        </w:rPr>
        <w:t>Key observations:</w:t>
      </w:r>
    </w:p>
    <w:p>
      <w:pPr>
        <w:pStyle w:val="ListBullet"/>
        <w:ind w:left="360" w:hanging="360"/>
      </w:pPr>
      <w:r>
        <w:rPr>
          <w:rFonts w:ascii="Calibri" w:hAnsi="Calibri"/>
          <w:b/>
          <w:color w:val="525866"/>
          <w:sz w:val="22"/>
        </w:rPr>
        <w:t xml:space="preserve">May 5–6, 2026: </w:t>
      </w:r>
      <w:r>
        <w:rPr>
          <w:rFonts w:ascii="Calibri" w:hAnsi="Calibri"/>
          <w:color w:val="525866"/>
          <w:sz w:val="22"/>
        </w:rPr>
        <w:t>FLEX surged ~40% overnight on Q4 FY26 beat + CPI spin-off announcement + aggressive FY27 guidance. Stock opened at ~$134 vs. $96 pre-earnings close.</w:t>
      </w:r>
    </w:p>
    <w:p>
      <w:pPr>
        <w:pStyle w:val="ListBullet"/>
        <w:ind w:left="360" w:hanging="360"/>
      </w:pPr>
      <w:r>
        <w:rPr>
          <w:rFonts w:ascii="Calibri" w:hAnsi="Calibri"/>
          <w:b/>
          <w:color w:val="525866"/>
          <w:sz w:val="22"/>
        </w:rPr>
        <w:t xml:space="preserve">May 6 – June 30: </w:t>
      </w:r>
      <w:r>
        <w:rPr>
          <w:rFonts w:ascii="Calibri" w:hAnsi="Calibri"/>
          <w:color w:val="525866"/>
          <w:sz w:val="22"/>
        </w:rPr>
        <w:t>FLEX continued to rally to a peak of ~$162 (+68% from pre-earnings), significantly outperforming XLK (+15%) and SPY (+3%) over the same period. The rally was driven by investor enthusiasm for the SpinCo AI infrastructure story.</w:t>
      </w:r>
    </w:p>
    <w:p>
      <w:pPr>
        <w:pStyle w:val="ListBullet"/>
        <w:ind w:left="360" w:hanging="360"/>
      </w:pPr>
      <w:r>
        <w:rPr>
          <w:rFonts w:ascii="Calibri" w:hAnsi="Calibri"/>
          <w:b/>
          <w:color w:val="525866"/>
          <w:sz w:val="22"/>
        </w:rPr>
        <w:t xml:space="preserve">July 2026: </w:t>
      </w:r>
      <w:r>
        <w:rPr>
          <w:rFonts w:ascii="Calibri" w:hAnsi="Calibri"/>
          <w:color w:val="525866"/>
          <w:sz w:val="22"/>
        </w:rPr>
        <w:t>FLEX retraced sharply from the ~$162 peak to ~$117 by July 28 (-28% from peak, but still +21% from pre-earnings). The retracement coincided with broader tech sector weakness and investor reassessment of CPI ramp timing ahead of Q1 FY27 earnings.</w:t>
      </w:r>
    </w:p>
    <w:p>
      <w:pPr>
        <w:pStyle w:val="ListBullet"/>
        <w:ind w:left="360" w:hanging="360"/>
      </w:pPr>
      <w:r>
        <w:rPr>
          <w:rFonts w:ascii="Calibri" w:hAnsi="Calibri"/>
          <w:b/>
          <w:color w:val="525866"/>
          <w:sz w:val="22"/>
        </w:rPr>
        <w:t xml:space="preserve">Net since earnings: </w:t>
      </w:r>
      <w:r>
        <w:rPr>
          <w:rFonts w:ascii="Calibri" w:hAnsi="Calibri"/>
          <w:color w:val="525866"/>
          <w:sz w:val="22"/>
        </w:rPr>
        <w:t>FLEX +21.4% vs. XLK +3.3% vs. SPY +2.4% — significant outperformance driven by the structural spin-off re-rating, partially given back as the market awaits execution confirmation.</w:t>
      </w:r>
    </w:p>
    <w:p>
      <w:r>
        <w:br w:type="page"/>
      </w:r>
    </w:p>
    <w:p>
      <w:pPr>
        <w:pStyle w:val="Heading2"/>
      </w:pPr>
      <w:r>
        <w:rPr>
          <w:rFonts w:ascii="Calibri" w:hAnsi="Calibri"/>
          <w:b/>
          <w:color w:val="3B4259"/>
          <w:sz w:val="28"/>
        </w:rPr>
        <w:t>6. Peer Commentaries — Current Quarter Read-Throughs (Last 60 Days)</w:t>
      </w:r>
    </w:p>
    <w:p>
      <w:r>
        <w:rPr>
          <w:rFonts w:ascii="Calibri" w:hAnsi="Calibri"/>
          <w:b/>
          <w:color w:val="525866"/>
          <w:sz w:val="22"/>
        </w:rPr>
        <w:t xml:space="preserve">Key Takeaway: </w:t>
      </w:r>
      <w:r>
        <w:rPr>
          <w:rFonts w:ascii="Calibri" w:hAnsi="Calibri"/>
          <w:color w:val="525866"/>
          <w:sz w:val="22"/>
        </w:rPr>
        <w:t xml:space="preserve">Peer commentary from the last 60 days is </w:t>
      </w:r>
      <w:r>
        <w:rPr>
          <w:rFonts w:ascii="Calibri" w:hAnsi="Calibri"/>
          <w:b/>
          <w:color w:val="525866"/>
          <w:sz w:val="22"/>
        </w:rPr>
        <w:t>uniformly bullish on AI infrastructure demand</w:t>
      </w:r>
      <w:r>
        <w:rPr>
          <w:rFonts w:ascii="Calibri" w:hAnsi="Calibri"/>
          <w:color w:val="525866"/>
          <w:sz w:val="22"/>
        </w:rPr>
        <w:t xml:space="preserve"> — Jabil, Sanmina, TE Connectivity, Google, NVIDIA, and Vertiv all reported accelerating AI-driven demand in the June quarter, validating FLEX's CPI growth thesis. The read-through is positive for both the Q1 FY27 print and the H2 FY27 ramp narrative. Automotive and healthcare are stabilizing across the peer set, consistent with FLEX's RMS guidance.</w:t>
      </w:r>
    </w:p>
    <w:p>
      <w:r>
        <w:rPr>
          <w:rFonts w:ascii="Calibri" w:hAnsi="Calibri"/>
          <w:i/>
          <w:color w:val="525866"/>
          <w:sz w:val="22"/>
        </w:rPr>
        <w:t>Note: Only commentary from peers reporting on or after May 5, 2026 (FLEX's last earnings date) is included below, covering their current reporting quarters (calendar Q2 2026 / fiscal Q3 2026 depending on fiscal year). Commentary about prior-quarter results only (without forward-looking color) has been excluded.</w:t>
      </w:r>
    </w:p>
    <w:p>
      <w:pPr>
        <w:pStyle w:val="Heading3"/>
      </w:pPr>
      <w:r>
        <w:rPr>
          <w:rFonts w:ascii="Calibri" w:hAnsi="Calibri"/>
          <w:b/>
          <w:color w:val="3B4259"/>
          <w:sz w:val="24"/>
        </w:rPr>
        <w:t>Jabil (JBL) — Q3 FY2026 Earnings Call, June 17, 2026</w:t>
      </w:r>
    </w:p>
    <w:p>
      <w:r>
        <w:rPr>
          <w:rFonts w:ascii="Calibri" w:hAnsi="Calibri"/>
          <w:b/>
          <w:color w:val="525866"/>
          <w:sz w:val="22"/>
        </w:rPr>
        <w:t xml:space="preserve">Relevance to FLEX: </w:t>
      </w:r>
      <w:r>
        <w:rPr>
          <w:rFonts w:ascii="Calibri" w:hAnsi="Calibri"/>
          <w:color w:val="525866"/>
          <w:sz w:val="22"/>
        </w:rPr>
        <w:t>JBL is FLEX's closest direct peer in electronic manufacturing services (EMS) and is building out AI data center infrastructure (compute, power, cooling, rack integration) in direct competition and overlap with FLEX's CPI segment.</w:t>
      </w:r>
    </w:p>
    <w:p>
      <w:pPr>
        <w:pStyle w:val="ListBullet"/>
        <w:ind w:left="360" w:hanging="360"/>
      </w:pPr>
      <w:r>
        <w:rPr>
          <w:rFonts w:ascii="Calibri" w:hAnsi="Calibri"/>
          <w:b/>
          <w:color w:val="525866"/>
          <w:sz w:val="22"/>
        </w:rPr>
        <w:t>AI infrastructure demand remains extremely strong.</w:t>
      </w:r>
      <w:r>
        <w:rPr>
          <w:rFonts w:ascii="Calibri" w:hAnsi="Calibri"/>
          <w:color w:val="525866"/>
          <w:sz w:val="22"/>
        </w:rPr>
        <w:t xml:space="preserve"> JBL raised its FY26 AI-related revenue outlook to ~$13.6B (up $500M from the March guide of $13.1B, and up from $9B in FY25) — representing ~50% YoY growth. Management stated: "AI infrastructure demand remained extremely strong, and our full year AI related revenue outlook is now meaningfully higher than what we laid out just 90 days ago." </w:t>
      </w:r>
      <w:r>
        <w:rPr>
          <w:rFonts w:ascii="Calibri" w:hAnsi="Calibri"/>
          <w:b/>
          <w:color w:val="525866"/>
          <w:sz w:val="22"/>
        </w:rPr>
        <w:t>Read-through: Validates FLEX CPI's 65–75% FY27 growth target as achievable given the demand environment.</w:t>
      </w:r>
    </w:p>
    <w:p>
      <w:pPr>
        <w:pStyle w:val="ListBullet"/>
        <w:ind w:left="360" w:hanging="360"/>
      </w:pPr>
      <w:r>
        <w:rPr>
          <w:rFonts w:ascii="Calibri" w:hAnsi="Calibri"/>
          <w:b/>
          <w:color w:val="525866"/>
          <w:sz w:val="22"/>
        </w:rPr>
        <w:t>Intelligent Infrastructure Q3 revenue up 21% YoY to $4.2B; Q4 guided up 32% YoY to ~$4.9B.</w:t>
      </w:r>
      <w:r>
        <w:rPr>
          <w:rFonts w:ascii="Calibri" w:hAnsi="Calibri"/>
          <w:color w:val="525866"/>
          <w:sz w:val="22"/>
        </w:rPr>
        <w:t xml:space="preserve"> JBL noted "another meaningful step up in revenue across all three end markets" (compute, networking, power/cooling) in Q4. A third hyperscaler win was announced, expected to contribute "a couple of hundred million" in FY27 and "rapidly expanding to a billion dollars and beyond in FY28." </w:t>
      </w:r>
      <w:r>
        <w:rPr>
          <w:rFonts w:ascii="Calibri" w:hAnsi="Calibri"/>
          <w:b/>
          <w:color w:val="525866"/>
          <w:sz w:val="22"/>
        </w:rPr>
        <w:t>Read-through: Hyperscaler demand breadth is expanding, not concentrating — positive for FLEX's multi-hyperscaler CPI strategy.</w:t>
      </w:r>
    </w:p>
    <w:p>
      <w:pPr>
        <w:pStyle w:val="ListBullet"/>
        <w:ind w:left="360" w:hanging="360"/>
      </w:pPr>
      <w:r>
        <w:rPr>
          <w:rFonts w:ascii="Calibri" w:hAnsi="Calibri"/>
          <w:b/>
          <w:color w:val="525866"/>
          <w:sz w:val="22"/>
        </w:rPr>
        <w:t>FY27 AI revenue growth expected to be similar in percentage terms to FY26 (i.e., ~50% YoY) on a much larger base.</w:t>
      </w:r>
      <w:r>
        <w:rPr>
          <w:rFonts w:ascii="Calibri" w:hAnsi="Calibri"/>
          <w:color w:val="525866"/>
          <w:sz w:val="22"/>
        </w:rPr>
        <w:t xml:space="preserve"> JBL is building out new capacity in North Carolina, Memphis, and India. Management expressed confidence in moving core operating margin above 6% in FY27, driven by AI mix improvement and operating leverage. </w:t>
      </w:r>
      <w:r>
        <w:rPr>
          <w:rFonts w:ascii="Calibri" w:hAnsi="Calibri"/>
          <w:b/>
          <w:color w:val="525866"/>
          <w:sz w:val="22"/>
        </w:rPr>
        <w:t>Read-through: Margin expansion from AI mix is a shared theme with FLEX's CPI margin recoupment story.</w:t>
      </w:r>
    </w:p>
    <w:p>
      <w:pPr>
        <w:pStyle w:val="ListBullet"/>
        <w:ind w:left="360" w:hanging="360"/>
      </w:pPr>
      <w:r>
        <w:rPr>
          <w:rFonts w:ascii="Calibri" w:hAnsi="Calibri"/>
          <w:b/>
          <w:color w:val="525866"/>
          <w:sz w:val="22"/>
        </w:rPr>
        <w:t>Automotive stronger than expected in Q3; FY26 auto revenue raised to ~$4.4B (from $4.2B).</w:t>
      </w:r>
      <w:r>
        <w:rPr>
          <w:rFonts w:ascii="Calibri" w:hAnsi="Calibri"/>
          <w:color w:val="525866"/>
          <w:sz w:val="22"/>
        </w:rPr>
        <w:t xml:space="preserve"> Despite the upside, JBL remains "cautious on the automotive market given continued demand volatility." Stronger export demand from China and powertrain-agnostic platforms drove the beat. </w:t>
      </w:r>
      <w:r>
        <w:rPr>
          <w:rFonts w:ascii="Calibri" w:hAnsi="Calibri"/>
          <w:b/>
          <w:color w:val="525866"/>
          <w:sz w:val="22"/>
        </w:rPr>
        <w:t>Read-through: Automotive stabilization is consistent with FLEX RMS guidance; not a headwind.</w:t>
      </w:r>
    </w:p>
    <w:p>
      <w:pPr>
        <w:pStyle w:val="ListBullet"/>
        <w:ind w:left="360" w:hanging="360"/>
      </w:pPr>
      <w:r>
        <w:rPr>
          <w:rFonts w:ascii="Calibri" w:hAnsi="Calibri"/>
          <w:b/>
          <w:color w:val="525866"/>
          <w:sz w:val="22"/>
        </w:rPr>
        <w:t>Supply chain: High demand for HBM and high-density interconnect PCBs, with extending lead times.</w:t>
      </w:r>
      <w:r>
        <w:rPr>
          <w:rFonts w:ascii="Calibri" w:hAnsi="Calibri"/>
          <w:color w:val="525866"/>
          <w:sz w:val="22"/>
        </w:rPr>
        <w:t xml:space="preserve"> JBL noted hyperscalers "get more than their fair share" of constrained components. DDR4 and below may face shortages. </w:t>
      </w:r>
      <w:r>
        <w:rPr>
          <w:rFonts w:ascii="Calibri" w:hAnsi="Calibri"/>
          <w:b/>
          <w:color w:val="525866"/>
          <w:sz w:val="22"/>
        </w:rPr>
        <w:t>Read-through: Component availability is a watch item for FLEX CPI ramp, though hyperscaler relationships provide priority access.</w:t>
      </w:r>
    </w:p>
    <w:p>
      <w:pPr>
        <w:pStyle w:val="ListBullet"/>
        <w:ind w:left="360" w:hanging="360"/>
      </w:pPr>
      <w:r>
        <w:rPr>
          <w:rFonts w:ascii="Calibri" w:hAnsi="Calibri"/>
          <w:b/>
          <w:color w:val="525866"/>
          <w:sz w:val="22"/>
        </w:rPr>
        <w:t>Jabil-Adani strategic alliance announced for AI data center infrastructure in India</w:t>
      </w:r>
      <w:r>
        <w:rPr>
          <w:rFonts w:ascii="Calibri" w:hAnsi="Calibri"/>
          <w:color w:val="525866"/>
          <w:sz w:val="22"/>
        </w:rPr>
        <w:t xml:space="preserve"> — targeting multi-gigawatt manufacturing capacity for high-density AI racks. FY28 is the realistic starting point for meaningful contributions. </w:t>
      </w:r>
      <w:r>
        <w:rPr>
          <w:rFonts w:ascii="Calibri" w:hAnsi="Calibri"/>
          <w:b/>
          <w:color w:val="525866"/>
          <w:sz w:val="22"/>
        </w:rPr>
        <w:t>Read-through: Competitive intensity in AI infrastructure manufacturing is increasing, but the market is large enough to support multiple players.</w:t>
      </w:r>
    </w:p>
    <w:p>
      <w:pPr>
        <w:pStyle w:val="Heading3"/>
      </w:pPr>
      <w:r>
        <w:rPr>
          <w:rFonts w:ascii="Calibri" w:hAnsi="Calibri"/>
          <w:b/>
          <w:color w:val="3B4259"/>
          <w:sz w:val="24"/>
        </w:rPr>
        <w:t>Sanmina (SANM) — Q3 FY2026 Earnings Call, July 27, 2026</w:t>
      </w:r>
    </w:p>
    <w:p>
      <w:r>
        <w:rPr>
          <w:rFonts w:ascii="Calibri" w:hAnsi="Calibri"/>
          <w:b/>
          <w:color w:val="525866"/>
          <w:sz w:val="22"/>
        </w:rPr>
        <w:t xml:space="preserve">Relevance to FLEX: </w:t>
      </w:r>
      <w:r>
        <w:rPr>
          <w:rFonts w:ascii="Calibri" w:hAnsi="Calibri"/>
          <w:color w:val="525866"/>
          <w:sz w:val="22"/>
        </w:rPr>
        <w:t>SANM is a direct EMS peer with significant AI infrastructure exposure through its ZT Systems acquisition (AI compute, storage, networking) and core business (PCBs, metal fabrication for AI racks, energy/power). Reports the same calendar quarter as FLEX Q1 FY27.</w:t>
      </w:r>
    </w:p>
    <w:p>
      <w:pPr>
        <w:pStyle w:val="ListBullet"/>
        <w:ind w:left="360" w:hanging="360"/>
      </w:pPr>
      <w:r>
        <w:rPr>
          <w:rFonts w:ascii="Calibri" w:hAnsi="Calibri"/>
          <w:b/>
          <w:color w:val="525866"/>
          <w:sz w:val="22"/>
        </w:rPr>
        <w:t>Q3 FY26 revenue of $3.46B at the high end of guidance; core business up 17% YoY with broad-based strength.</w:t>
      </w:r>
      <w:r>
        <w:rPr>
          <w:rFonts w:ascii="Calibri" w:hAnsi="Calibri"/>
          <w:color w:val="525866"/>
          <w:sz w:val="22"/>
        </w:rPr>
        <w:t xml:space="preserve"> Communication networks, cloud and AI infrastructure was 62% of revenue ($2.148B), up 173% YoY. Management stated: "AI is driving growth in this entire end market. Bookings continue to be strong and we're adding new customers." </w:t>
      </w:r>
      <w:r>
        <w:rPr>
          <w:rFonts w:ascii="Calibri" w:hAnsi="Calibri"/>
          <w:b/>
          <w:color w:val="525866"/>
          <w:sz w:val="22"/>
        </w:rPr>
        <w:t>Read-through: AI infrastructure demand is accelerating across the EMS peer set, validating FLEX CPI's growth trajectory.</w:t>
      </w:r>
    </w:p>
    <w:p>
      <w:pPr>
        <w:pStyle w:val="ListBullet"/>
        <w:ind w:left="360" w:hanging="360"/>
      </w:pPr>
      <w:r>
        <w:rPr>
          <w:rFonts w:ascii="Calibri" w:hAnsi="Calibri"/>
          <w:b/>
          <w:color w:val="525866"/>
          <w:sz w:val="22"/>
        </w:rPr>
        <w:t>Non-GAAP operating margin of 8.0%, up 230bps YoY — driven by favorable mix and non-recurring engineering (NRE) services.</w:t>
      </w:r>
      <w:r>
        <w:rPr>
          <w:rFonts w:ascii="Calibri" w:hAnsi="Calibri"/>
          <w:color w:val="525866"/>
          <w:sz w:val="22"/>
        </w:rPr>
        <w:t xml:space="preserve"> NRE services (pre-production work for next-gen Accelerated Compute programs) contributed meaningfully to margins. </w:t>
      </w:r>
      <w:r>
        <w:rPr>
          <w:rFonts w:ascii="Calibri" w:hAnsi="Calibri"/>
          <w:b/>
          <w:color w:val="525866"/>
          <w:sz w:val="22"/>
        </w:rPr>
        <w:t>Read-through: Higher-value engineering services are margin-accretive in AI infrastructure — consistent with FLEX's CPI margin recoupment thesis.</w:t>
      </w:r>
    </w:p>
    <w:p>
      <w:pPr>
        <w:pStyle w:val="ListBullet"/>
        <w:ind w:left="360" w:hanging="360"/>
      </w:pPr>
      <w:r>
        <w:rPr>
          <w:rFonts w:ascii="Calibri" w:hAnsi="Calibri"/>
          <w:b/>
          <w:color w:val="525866"/>
          <w:sz w:val="22"/>
        </w:rPr>
        <w:t>New next-generation Accelerated Compute program on track; revenue recognition begins Q1 FY27 (calendar Q4 2026).</w:t>
      </w:r>
      <w:r>
        <w:rPr>
          <w:rFonts w:ascii="Calibri" w:hAnsi="Calibri"/>
          <w:color w:val="525866"/>
          <w:sz w:val="22"/>
        </w:rPr>
        <w:t xml:space="preserve"> SANM secured orders from both hyperscale and OEM customers and continued to expand its customer base in Q3. Book-to-bill better than 1.1. </w:t>
      </w:r>
      <w:r>
        <w:rPr>
          <w:rFonts w:ascii="Calibri" w:hAnsi="Calibri"/>
          <w:b/>
          <w:color w:val="525866"/>
          <w:sz w:val="22"/>
        </w:rPr>
        <w:t>Read-through: Hyperscaler demand for next-gen compute is broad-based and multi-vendor, supporting FLEX's AMD Helios and Nvidia 800V partnerships.</w:t>
      </w:r>
    </w:p>
    <w:p>
      <w:pPr>
        <w:pStyle w:val="ListBullet"/>
        <w:ind w:left="360" w:hanging="360"/>
      </w:pPr>
      <w:r>
        <w:rPr>
          <w:rFonts w:ascii="Calibri" w:hAnsi="Calibri"/>
          <w:b/>
          <w:color w:val="525866"/>
          <w:sz w:val="22"/>
        </w:rPr>
        <w:t>FY27 revenue target of $16B+ reaffirmed with increased confidence; H2 FY27 growth expected to be higher than H1.</w:t>
      </w:r>
      <w:r>
        <w:rPr>
          <w:rFonts w:ascii="Calibri" w:hAnsi="Calibri"/>
          <w:color w:val="525866"/>
          <w:sz w:val="22"/>
        </w:rPr>
        <w:t xml:space="preserve"> Management stated: "We are more confident than ever in our ability to achieve revenue of $16 billion plus in 2027." Energy business for AI data centers is expanding (power generation, medium voltage, grid-scale transformers). </w:t>
      </w:r>
      <w:r>
        <w:rPr>
          <w:rFonts w:ascii="Calibri" w:hAnsi="Calibri"/>
          <w:b/>
          <w:color w:val="525866"/>
          <w:sz w:val="22"/>
        </w:rPr>
        <w:t>Read-through: H2-weighted growth ramp is a shared theme with FLEX CPI — validates the back-half loading narrative.</w:t>
      </w:r>
    </w:p>
    <w:p>
      <w:pPr>
        <w:pStyle w:val="ListBullet"/>
        <w:ind w:left="360" w:hanging="360"/>
      </w:pPr>
      <w:r>
        <w:rPr>
          <w:rFonts w:ascii="Calibri" w:hAnsi="Calibri"/>
          <w:b/>
          <w:color w:val="525866"/>
          <w:sz w:val="22"/>
        </w:rPr>
        <w:t>Industrial, energy, medical, defense, aerospace, automotive, and transportation: 38% of revenue, up 4.8% YoY.</w:t>
      </w:r>
      <w:r>
        <w:rPr>
          <w:rFonts w:ascii="Calibri" w:hAnsi="Calibri"/>
          <w:color w:val="525866"/>
          <w:sz w:val="22"/>
        </w:rPr>
        <w:t xml:space="preserve"> Automotive stable; medical stable with growth expected to accelerate in FY27; defense growing with satellite market expansion. </w:t>
      </w:r>
      <w:r>
        <w:rPr>
          <w:rFonts w:ascii="Calibri" w:hAnsi="Calibri"/>
          <w:b/>
          <w:color w:val="525866"/>
          <w:sz w:val="22"/>
        </w:rPr>
        <w:t>Read-through: Diversified end markets outside AI are stable-to-improving, consistent with FLEX RMS guidance.</w:t>
      </w:r>
    </w:p>
    <w:p>
      <w:pPr>
        <w:pStyle w:val="Heading3"/>
      </w:pPr>
      <w:r>
        <w:rPr>
          <w:rFonts w:ascii="Calibri" w:hAnsi="Calibri"/>
          <w:b/>
          <w:color w:val="3B4259"/>
          <w:sz w:val="24"/>
        </w:rPr>
        <w:t>TE Connectivity (TEL) — Q3 FY2026 Earnings Call, July 22, 2026</w:t>
      </w:r>
    </w:p>
    <w:p>
      <w:r>
        <w:rPr>
          <w:rFonts w:ascii="Calibri" w:hAnsi="Calibri"/>
          <w:b/>
          <w:color w:val="525866"/>
          <w:sz w:val="22"/>
        </w:rPr>
        <w:t xml:space="preserve">Relevance to FLEX: </w:t>
      </w:r>
      <w:r>
        <w:rPr>
          <w:rFonts w:ascii="Calibri" w:hAnsi="Calibri"/>
          <w:color w:val="525866"/>
          <w:sz w:val="22"/>
        </w:rPr>
        <w:t>TEL is a key supplier of connectivity and power components to AI data centers and is a bellwether for AI infrastructure demand trends. TEL's Digital Data Networks (DDN) and energy businesses are direct read-throughs for FLEX CPI's power and cloud segments.</w:t>
      </w:r>
    </w:p>
    <w:p>
      <w:pPr>
        <w:pStyle w:val="ListBullet"/>
        <w:ind w:left="360" w:hanging="360"/>
      </w:pPr>
      <w:r>
        <w:rPr>
          <w:rFonts w:ascii="Calibri" w:hAnsi="Calibri"/>
          <w:b/>
          <w:color w:val="525866"/>
          <w:sz w:val="22"/>
        </w:rPr>
        <w:t>DDN revenue up 34% YoY in Q3; year-to-date DDN orders up over 70% vs. last year.</w:t>
      </w:r>
      <w:r>
        <w:rPr>
          <w:rFonts w:ascii="Calibri" w:hAnsi="Calibri"/>
          <w:color w:val="525866"/>
          <w:sz w:val="22"/>
        </w:rPr>
        <w:t xml:space="preserve"> TEL's $3B AI cloud revenue target for FY27 is "ahead of schedule" and has "continued to shift left." Management stated: "DDN is going to be a very big growth driver into 27 again." </w:t>
      </w:r>
      <w:r>
        <w:rPr>
          <w:rFonts w:ascii="Calibri" w:hAnsi="Calibri"/>
          <w:b/>
          <w:color w:val="525866"/>
          <w:sz w:val="22"/>
        </w:rPr>
        <w:t>Read-through: AI connectivity demand is accelerating into FY27, validating FLEX CPI's H2 ramp narrative.</w:t>
      </w:r>
    </w:p>
    <w:p>
      <w:pPr>
        <w:pStyle w:val="ListBullet"/>
        <w:ind w:left="360" w:hanging="360"/>
      </w:pPr>
      <w:r>
        <w:rPr>
          <w:rFonts w:ascii="Calibri" w:hAnsi="Calibri"/>
          <w:b/>
          <w:color w:val="525866"/>
          <w:sz w:val="22"/>
        </w:rPr>
        <w:t>Record order levels of $5.7B in Q3, up 27% YoY and 7% sequentially; book-to-bill of 1.1.</w:t>
      </w:r>
      <w:r>
        <w:rPr>
          <w:rFonts w:ascii="Calibri" w:hAnsi="Calibri"/>
          <w:color w:val="525866"/>
          <w:sz w:val="22"/>
        </w:rPr>
        <w:t xml:space="preserve"> Record backlog provides "increasing visibility into continued broad-based growth as we move into fiscal year 2027." Full-year FY26 sales now expected to grow ~15% YoY. </w:t>
      </w:r>
      <w:r>
        <w:rPr>
          <w:rFonts w:ascii="Calibri" w:hAnsi="Calibri"/>
          <w:b/>
          <w:color w:val="525866"/>
          <w:sz w:val="22"/>
        </w:rPr>
        <w:t>Read-through: Strong order momentum and backlog build across the AI infrastructure supply chain is a positive leading indicator for FLEX CPI.</w:t>
      </w:r>
    </w:p>
    <w:p>
      <w:pPr>
        <w:pStyle w:val="ListBullet"/>
        <w:ind w:left="360" w:hanging="360"/>
      </w:pPr>
      <w:r>
        <w:rPr>
          <w:rFonts w:ascii="Calibri" w:hAnsi="Calibri"/>
          <w:b/>
          <w:color w:val="525866"/>
          <w:sz w:val="22"/>
        </w:rPr>
        <w:t>Power connectivity: ~1/3 of AI revenue is power connectivity; growing opportunities as customers evolve to higher voltage architectures.</w:t>
      </w:r>
      <w:r>
        <w:rPr>
          <w:rFonts w:ascii="Calibri" w:hAnsi="Calibri"/>
          <w:color w:val="525866"/>
          <w:sz w:val="22"/>
        </w:rPr>
        <w:t xml:space="preserve"> TEL has deep expertise in 800V DC and higher-voltage connectivity, with potential content increases of 1.5x traditional power content. </w:t>
      </w:r>
      <w:r>
        <w:rPr>
          <w:rFonts w:ascii="Calibri" w:hAnsi="Calibri"/>
          <w:b/>
          <w:color w:val="525866"/>
          <w:sz w:val="22"/>
        </w:rPr>
        <w:t>Read-through: Directly validates FLEX CPI's 800V DC embedded power strategy and the Nvidia Vera Rubin 800V partnership.</w:t>
      </w:r>
    </w:p>
    <w:p>
      <w:pPr>
        <w:pStyle w:val="ListBullet"/>
        <w:ind w:left="360" w:hanging="360"/>
      </w:pPr>
      <w:r>
        <w:rPr>
          <w:rFonts w:ascii="Calibri" w:hAnsi="Calibri"/>
          <w:b/>
          <w:color w:val="525866"/>
          <w:sz w:val="22"/>
        </w:rPr>
        <w:t>Energy business: organic sales up ~3% in Q3; expected to be a "mid-teens type grower" this year and next.</w:t>
      </w:r>
      <w:r>
        <w:rPr>
          <w:rFonts w:ascii="Calibri" w:hAnsi="Calibri"/>
          <w:color w:val="525866"/>
          <w:sz w:val="22"/>
        </w:rPr>
        <w:t xml:space="preserve"> ~1/3 of energy market growth is driven by data center build-outs; grid hardening is on an "upward inflection point." Astrodon TDE acquisition ($1.4B) announced to broaden power filter and custom power solutions portfolio. </w:t>
      </w:r>
      <w:r>
        <w:rPr>
          <w:rFonts w:ascii="Calibri" w:hAnsi="Calibri"/>
          <w:b/>
          <w:color w:val="525866"/>
          <w:sz w:val="22"/>
        </w:rPr>
        <w:t>Read-through: Grid-to-chip power infrastructure demand is accelerating — directly relevant to FLEX SpinCo's utility and grid business.</w:t>
      </w:r>
    </w:p>
    <w:p>
      <w:pPr>
        <w:pStyle w:val="ListBullet"/>
        <w:ind w:left="360" w:hanging="360"/>
      </w:pPr>
      <w:r>
        <w:rPr>
          <w:rFonts w:ascii="Calibri" w:hAnsi="Calibri"/>
          <w:b/>
          <w:color w:val="525866"/>
          <w:sz w:val="22"/>
        </w:rPr>
        <w:t>Automotive: Transportation Solutions up 7% reported / 5% organic YoY; content outperformance of 4–6 points above production.</w:t>
      </w:r>
      <w:r>
        <w:rPr>
          <w:rFonts w:ascii="Calibri" w:hAnsi="Calibri"/>
          <w:color w:val="525866"/>
          <w:sz w:val="22"/>
        </w:rPr>
        <w:t xml:space="preserve"> China auto exports are offsetting weak domestic demand. Commercial transportation up 20% reported / 18% organic. </w:t>
      </w:r>
      <w:r>
        <w:rPr>
          <w:rFonts w:ascii="Calibri" w:hAnsi="Calibri"/>
          <w:b/>
          <w:color w:val="525866"/>
          <w:sz w:val="22"/>
        </w:rPr>
        <w:t>Read-through: Automotive is stabilizing with content growth above production — consistent with FLEX RMS automotive 'stabilization' characterization.</w:t>
      </w:r>
    </w:p>
    <w:p>
      <w:pPr>
        <w:pStyle w:val="Heading3"/>
      </w:pPr>
      <w:r>
        <w:rPr>
          <w:rFonts w:ascii="Calibri" w:hAnsi="Calibri"/>
          <w:b/>
          <w:color w:val="3B4259"/>
          <w:sz w:val="24"/>
        </w:rPr>
        <w:t>Celestica (CLS) — Q2 2026 Earnings, July 27–28, 2026</w:t>
      </w:r>
    </w:p>
    <w:p>
      <w:r>
        <w:rPr>
          <w:rFonts w:ascii="Calibri" w:hAnsi="Calibri"/>
          <w:b/>
          <w:color w:val="525866"/>
          <w:sz w:val="22"/>
        </w:rPr>
        <w:t xml:space="preserve">Relevance to FLEX: </w:t>
      </w:r>
      <w:r>
        <w:rPr>
          <w:rFonts w:ascii="Calibri" w:hAnsi="Calibri"/>
          <w:color w:val="525866"/>
          <w:sz w:val="22"/>
        </w:rPr>
        <w:t>CLS is a direct EMS peer with significant AI data center exposure (hyperscaler compute, networking, power). Reports the same calendar quarter as FLEX Q1 FY27.</w:t>
      </w:r>
    </w:p>
    <w:p>
      <w:r>
        <w:rPr>
          <w:rFonts w:ascii="Calibri" w:hAnsi="Calibri"/>
          <w:i/>
          <w:color w:val="525866"/>
          <w:sz w:val="22"/>
        </w:rPr>
        <w:t>Note: The CLS Q2 2026 earnings call transcript was not available in the research database (call ended without substantive content captured). The earnings release was filed July 27, 2026. Detailed commentary is not available for this preview; monitor CLS results for additional read-through data.</w:t>
      </w:r>
    </w:p>
    <w:p>
      <w:pPr>
        <w:pStyle w:val="Heading3"/>
      </w:pPr>
      <w:r>
        <w:rPr>
          <w:rFonts w:ascii="Calibri" w:hAnsi="Calibri"/>
          <w:b/>
          <w:color w:val="3B4259"/>
          <w:sz w:val="24"/>
        </w:rPr>
        <w:t>Google / Alphabet (GOOGL) — Q2 2026 Earnings Call, July 22, 2026</w:t>
      </w:r>
    </w:p>
    <w:p>
      <w:r>
        <w:rPr>
          <w:rFonts w:ascii="Calibri" w:hAnsi="Calibri"/>
          <w:b/>
          <w:color w:val="525866"/>
          <w:sz w:val="22"/>
        </w:rPr>
        <w:t xml:space="preserve">Relevance to FLEX: </w:t>
      </w:r>
      <w:r>
        <w:rPr>
          <w:rFonts w:ascii="Calibri" w:hAnsi="Calibri"/>
          <w:color w:val="525866"/>
          <w:sz w:val="22"/>
        </w:rPr>
        <w:t>Google is a named multi-year contract customer of FLEX CPI (cloud integration, power, thermal). Google's CapEx trajectory and AI infrastructure demand commentary are the most direct read-through for FLEX's largest disclosed hyperscaler relationship.</w:t>
      </w:r>
    </w:p>
    <w:p>
      <w:pPr>
        <w:pStyle w:val="ListBullet"/>
        <w:ind w:left="360" w:hanging="360"/>
      </w:pPr>
      <w:r>
        <w:rPr>
          <w:rFonts w:ascii="Calibri" w:hAnsi="Calibri"/>
          <w:b/>
          <w:color w:val="525866"/>
          <w:sz w:val="22"/>
        </w:rPr>
        <w:t>Google Cloud revenue up 82% YoY in Q2 2026; cloud backlog grew to $514B.</w:t>
      </w:r>
      <w:r>
        <w:rPr>
          <w:rFonts w:ascii="Calibri" w:hAnsi="Calibri"/>
          <w:color w:val="525866"/>
          <w:sz w:val="22"/>
        </w:rPr>
        <w:t xml:space="preserve"> Management stated: "Demand for our models is translating to strong token usage across developers and enterprise customers, and we continue to be supply constrained." </w:t>
      </w:r>
      <w:r>
        <w:rPr>
          <w:rFonts w:ascii="Calibri" w:hAnsi="Calibri"/>
          <w:b/>
          <w:color w:val="525866"/>
          <w:sz w:val="22"/>
        </w:rPr>
        <w:t>Read-through: Google remains supply-constrained and is accelerating infrastructure investment — directly positive for FLEX's multi-year Google contract.</w:t>
      </w:r>
    </w:p>
    <w:p>
      <w:pPr>
        <w:pStyle w:val="ListBullet"/>
        <w:ind w:left="360" w:hanging="360"/>
      </w:pPr>
      <w:r>
        <w:rPr>
          <w:rFonts w:ascii="Calibri" w:hAnsi="Calibri"/>
          <w:b/>
          <w:color w:val="525866"/>
          <w:sz w:val="22"/>
        </w:rPr>
        <w:t>Google raised full-year 2026 CapEx guidance to $195B–$205B (up from $180B–$190B), and expects CapEx to increase significantly in 2027.</w:t>
      </w:r>
      <w:r>
        <w:rPr>
          <w:rFonts w:ascii="Calibri" w:hAnsi="Calibri"/>
          <w:color w:val="525866"/>
          <w:sz w:val="22"/>
        </w:rPr>
        <w:t xml:space="preserve"> Q2 CapEx was $44.9B, with ~60% in servers and ~40% in data centers and networking. Management stated: "The increase in the range is primarily due to an acceleration in the delivery of capacity to meet growing demand." </w:t>
      </w:r>
      <w:r>
        <w:rPr>
          <w:rFonts w:ascii="Calibri" w:hAnsi="Calibri"/>
          <w:b/>
          <w:color w:val="525866"/>
          <w:sz w:val="22"/>
        </w:rPr>
        <w:t>Read-through: Google's accelerating CapEx directly underpins FLEX CPI's FY27 and FY28 growth targets.</w:t>
      </w:r>
    </w:p>
    <w:p>
      <w:pPr>
        <w:pStyle w:val="ListBullet"/>
        <w:ind w:left="360" w:hanging="360"/>
      </w:pPr>
      <w:r>
        <w:rPr>
          <w:rFonts w:ascii="Calibri" w:hAnsi="Calibri"/>
          <w:b/>
          <w:color w:val="525866"/>
          <w:sz w:val="22"/>
        </w:rPr>
        <w:t>Google plans to expand use of third-party capacity in Q3 2026 as a bridging strategy while building out internal capacity.</w:t>
      </w:r>
      <w:r>
        <w:rPr>
          <w:rFonts w:ascii="Calibri" w:hAnsi="Calibri"/>
          <w:color w:val="525866"/>
          <w:sz w:val="22"/>
        </w:rPr>
        <w:t xml:space="preserve"> Management noted this will create "modest margin pressure in the near term" but is "highly ROI positive" over the multi-year horizon of customer deals. </w:t>
      </w:r>
      <w:r>
        <w:rPr>
          <w:rFonts w:ascii="Calibri" w:hAnsi="Calibri"/>
          <w:b/>
          <w:color w:val="525866"/>
          <w:sz w:val="22"/>
        </w:rPr>
        <w:t>Read-through: Third-party capacity expansion is a direct revenue opportunity for FLEX CPI's cloud integration business.</w:t>
      </w:r>
    </w:p>
    <w:p>
      <w:pPr>
        <w:pStyle w:val="ListBullet"/>
        <w:ind w:left="360" w:hanging="360"/>
      </w:pPr>
      <w:r>
        <w:rPr>
          <w:rFonts w:ascii="Calibri" w:hAnsi="Calibri"/>
          <w:b/>
          <w:color w:val="525866"/>
          <w:sz w:val="22"/>
        </w:rPr>
        <w:t>Google began recognizing revenues from TPU system sales for the first time in Q2 2026.</w:t>
      </w:r>
      <w:r>
        <w:rPr>
          <w:rFonts w:ascii="Calibri" w:hAnsi="Calibri"/>
          <w:color w:val="525866"/>
          <w:sz w:val="22"/>
        </w:rPr>
        <w:t xml:space="preserve"> "A relatively small portion of revenues from existing TPU system sales agreements is expected this year, with the vast majority to be realized in 2027." </w:t>
      </w:r>
      <w:r>
        <w:rPr>
          <w:rFonts w:ascii="Calibri" w:hAnsi="Calibri"/>
          <w:b/>
          <w:color w:val="525866"/>
          <w:sz w:val="22"/>
        </w:rPr>
        <w:t>Read-through: TPU system sales ramp in 2027 is incremental demand for FLEX's compute integration capabilities.</w:t>
      </w:r>
    </w:p>
    <w:p>
      <w:pPr>
        <w:pStyle w:val="ListBullet"/>
        <w:ind w:left="360" w:hanging="360"/>
      </w:pPr>
      <w:r>
        <w:rPr>
          <w:rFonts w:ascii="Calibri" w:hAnsi="Calibri"/>
          <w:b/>
          <w:color w:val="525866"/>
          <w:sz w:val="22"/>
        </w:rPr>
        <w:t>Nvidia Vera Rubin platform referenced as part of Google's accelerator portfolio.</w:t>
      </w:r>
      <w:r>
        <w:rPr>
          <w:rFonts w:ascii="Calibri" w:hAnsi="Calibri"/>
          <w:color w:val="525866"/>
          <w:sz w:val="22"/>
        </w:rPr>
        <w:t xml:space="preserve"> Google's A5X bare metal instances can support up to 960,000 Rubin GPUs. </w:t>
      </w:r>
      <w:r>
        <w:rPr>
          <w:rFonts w:ascii="Calibri" w:hAnsi="Calibri"/>
          <w:b/>
          <w:color w:val="525866"/>
          <w:sz w:val="22"/>
        </w:rPr>
        <w:t>Read-through: FLEX's Nvidia 800V DC Power Rack collaboration for the Vera Rubin platform is directly relevant to Google's infrastructure build-out.</w:t>
      </w:r>
    </w:p>
    <w:p>
      <w:pPr>
        <w:pStyle w:val="Heading3"/>
      </w:pPr>
      <w:r>
        <w:rPr>
          <w:rFonts w:ascii="Calibri" w:hAnsi="Calibri"/>
          <w:b/>
          <w:color w:val="3B4259"/>
          <w:sz w:val="24"/>
        </w:rPr>
        <w:t>NVIDIA (NVDA) — Q1 FY2027 Earnings Call, May 20, 2026</w:t>
      </w:r>
    </w:p>
    <w:p>
      <w:r>
        <w:rPr>
          <w:rFonts w:ascii="Calibri" w:hAnsi="Calibri"/>
          <w:b/>
          <w:color w:val="525866"/>
          <w:sz w:val="22"/>
        </w:rPr>
        <w:t xml:space="preserve">Relevance to FLEX: </w:t>
      </w:r>
      <w:r>
        <w:rPr>
          <w:rFonts w:ascii="Calibri" w:hAnsi="Calibri"/>
          <w:color w:val="525866"/>
          <w:sz w:val="22"/>
        </w:rPr>
        <w:t>NVIDIA is FLEX's key technology partner (Nvidia 800V DC Power Rack for Vera Rubin platform; AMD Helios rack manufacturing). NVDA's demand commentary and product roadmap directly drive FLEX CPI's power and compute integration pipeline.</w:t>
      </w:r>
    </w:p>
    <w:p>
      <w:pPr>
        <w:pStyle w:val="ListBullet"/>
        <w:ind w:left="360" w:hanging="360"/>
      </w:pPr>
      <w:r>
        <w:rPr>
          <w:rFonts w:ascii="Calibri" w:hAnsi="Calibri"/>
          <w:b/>
          <w:color w:val="525866"/>
          <w:sz w:val="22"/>
        </w:rPr>
        <w:t>NVIDIA Q1 FY27 total revenue of $82B, up 85% YoY; Data Center revenue of $75B, up 92% YoY.</w:t>
      </w:r>
      <w:r>
        <w:rPr>
          <w:rFonts w:ascii="Calibri" w:hAnsi="Calibri"/>
          <w:color w:val="525866"/>
          <w:sz w:val="22"/>
        </w:rPr>
        <w:t xml:space="preserve"> Management stated: "Demand for AI infrastructure continues to expand at an unprecedented pace. The build-out of AI factories is accelerating." Analysts are forecasting hyperscale CapEx to exceed $1 trillion in 2027. </w:t>
      </w:r>
      <w:r>
        <w:rPr>
          <w:rFonts w:ascii="Calibri" w:hAnsi="Calibri"/>
          <w:b/>
          <w:color w:val="525866"/>
          <w:sz w:val="22"/>
        </w:rPr>
        <w:t>Read-through: The scale of AI infrastructure investment is unprecedented and accelerating — the most bullish possible backdrop for FLEX CPI.</w:t>
      </w:r>
    </w:p>
    <w:p>
      <w:pPr>
        <w:pStyle w:val="ListBullet"/>
        <w:ind w:left="360" w:hanging="360"/>
      </w:pPr>
      <w:r>
        <w:rPr>
          <w:rFonts w:ascii="Calibri" w:hAnsi="Calibri"/>
          <w:b/>
          <w:color w:val="525866"/>
          <w:sz w:val="22"/>
        </w:rPr>
        <w:t>Vera Rubin production shipments on track to commence in H2 FY27 (starting Q3).</w:t>
      </w:r>
      <w:r>
        <w:rPr>
          <w:rFonts w:ascii="Calibri" w:hAnsi="Calibri"/>
          <w:color w:val="525866"/>
          <w:sz w:val="22"/>
        </w:rPr>
        <w:t xml:space="preserve"> "Every single frontier model company will jump on Vera Rubin from the get-go." Vera Rubin delivers up to 35x higher inference throughput and 10x greater AI factory revenue vs. Blackwell. </w:t>
      </w:r>
      <w:r>
        <w:rPr>
          <w:rFonts w:ascii="Calibri" w:hAnsi="Calibri"/>
          <w:b/>
          <w:color w:val="525866"/>
          <w:sz w:val="22"/>
        </w:rPr>
        <w:t>Read-through: FLEX's 800V DC Power Rack for Vera Rubin is positioned at the leading edge of the next GPU generation ramp — a significant revenue opportunity in H2 FY27 and FY28.</w:t>
      </w:r>
    </w:p>
    <w:p>
      <w:pPr>
        <w:pStyle w:val="ListBullet"/>
        <w:ind w:left="360" w:hanging="360"/>
      </w:pPr>
      <w:r>
        <w:rPr>
          <w:rFonts w:ascii="Calibri" w:hAnsi="Calibri"/>
          <w:b/>
          <w:color w:val="525866"/>
          <w:sz w:val="22"/>
        </w:rPr>
        <w:t>NVIDIA has full confidence in $1 trillion in Blackwell and Rubin revenue from 2025 through calendar 2027.</w:t>
      </w:r>
      <w:r>
        <w:rPr>
          <w:rFonts w:ascii="Calibri" w:hAnsi="Calibri"/>
          <w:color w:val="525866"/>
          <w:sz w:val="22"/>
        </w:rPr>
        <w:t xml:space="preserve"> Q2 FY27 revenue guided to $91B (+11% QoQ). Supply chain: total supply commitments increased to $145B in Q1. </w:t>
      </w:r>
      <w:r>
        <w:rPr>
          <w:rFonts w:ascii="Calibri" w:hAnsi="Calibri"/>
          <w:b/>
          <w:color w:val="525866"/>
          <w:sz w:val="22"/>
        </w:rPr>
        <w:t>Read-through: NVIDIA's supply chain scale-up directly benefits FLEX as a manufacturing partner for compute integration and power infrastructure.</w:t>
      </w:r>
    </w:p>
    <w:p>
      <w:pPr>
        <w:pStyle w:val="ListBullet"/>
        <w:ind w:left="360" w:hanging="360"/>
      </w:pPr>
      <w:r>
        <w:rPr>
          <w:rFonts w:ascii="Calibri" w:hAnsi="Calibri"/>
          <w:b/>
          <w:color w:val="525866"/>
          <w:sz w:val="22"/>
        </w:rPr>
        <w:t>Power and rack density: Data centers are "constrained by power and capital." NVIDIA's extreme co-design approach focuses on tokens per watt and tokens per dollar.</w:t>
      </w:r>
      <w:r>
        <w:rPr>
          <w:rFonts w:ascii="Calibri" w:hAnsi="Calibri"/>
          <w:color w:val="525866"/>
          <w:sz w:val="22"/>
        </w:rPr>
        <w:t xml:space="preserve"> The Vera CPU opens a new $200B TAM; NVIDIA has visibility to ~$20B in CPU revenue this year. </w:t>
      </w:r>
      <w:r>
        <w:rPr>
          <w:rFonts w:ascii="Calibri" w:hAnsi="Calibri"/>
          <w:b/>
          <w:color w:val="525866"/>
          <w:sz w:val="22"/>
        </w:rPr>
        <w:t>Read-through: Power density and rack integration complexity are increasing — directly expanding the addressable market for FLEX CPI's embedded power and compute integration capabilities.</w:t>
      </w:r>
    </w:p>
    <w:p>
      <w:pPr>
        <w:pStyle w:val="Heading3"/>
      </w:pPr>
      <w:r>
        <w:rPr>
          <w:rFonts w:ascii="Calibri" w:hAnsi="Calibri"/>
          <w:b/>
          <w:color w:val="3B4259"/>
          <w:sz w:val="24"/>
        </w:rPr>
        <w:t>Vertiv (VRT) — Investor Conference, May 19–20, 2026</w:t>
      </w:r>
    </w:p>
    <w:p>
      <w:r>
        <w:rPr>
          <w:rFonts w:ascii="Calibri" w:hAnsi="Calibri"/>
          <w:b/>
          <w:color w:val="525866"/>
          <w:sz w:val="22"/>
        </w:rPr>
        <w:t xml:space="preserve">Relevance to FLEX: </w:t>
      </w:r>
      <w:r>
        <w:rPr>
          <w:rFonts w:ascii="Calibri" w:hAnsi="Calibri"/>
          <w:color w:val="525866"/>
          <w:sz w:val="22"/>
        </w:rPr>
        <w:t>Vertiv is FLEX management's explicitly named competitive benchmark for SpinCo's power portfolio. Management compared SpinCo's critical power capabilities to Vertiv and Delta, and noted SpinCo's differentiation in embedded power and cooling. Vertiv's investor conference provides the most detailed industry read-through on AI power and thermal infrastructure trends.</w:t>
      </w:r>
    </w:p>
    <w:p>
      <w:pPr>
        <w:pStyle w:val="ListBullet"/>
        <w:ind w:left="360" w:hanging="360"/>
      </w:pPr>
      <w:r>
        <w:rPr>
          <w:rFonts w:ascii="Calibri" w:hAnsi="Calibri"/>
          <w:b/>
          <w:color w:val="525866"/>
          <w:sz w:val="22"/>
        </w:rPr>
        <w:t>AI rack densities at 140kW today, rapidly approaching 300kW, moving to 600kW, with megawatt racks in the visible time horizon.</w:t>
      </w:r>
      <w:r>
        <w:rPr>
          <w:rFonts w:ascii="Calibri" w:hAnsi="Calibri"/>
          <w:color w:val="525866"/>
          <w:sz w:val="22"/>
        </w:rPr>
        <w:t xml:space="preserve"> Data centers are scaling to 250MW buildings and gigawatt campuses. Management stated: "Incredible density problems, incredible scaling challenges that come with rack density and densification at this level." </w:t>
      </w:r>
      <w:r>
        <w:rPr>
          <w:rFonts w:ascii="Calibri" w:hAnsi="Calibri"/>
          <w:b/>
          <w:color w:val="525866"/>
          <w:sz w:val="22"/>
        </w:rPr>
        <w:t>Read-through: Increasing rack density directly expands the addressable market for FLEX CPI's embedded power (400V/800V DC) and thermal management solutions.</w:t>
      </w:r>
    </w:p>
    <w:p>
      <w:pPr>
        <w:pStyle w:val="ListBullet"/>
        <w:ind w:left="360" w:hanging="360"/>
      </w:pPr>
      <w:r>
        <w:rPr>
          <w:rFonts w:ascii="Calibri" w:hAnsi="Calibri"/>
          <w:b/>
          <w:color w:val="525866"/>
          <w:sz w:val="22"/>
        </w:rPr>
        <w:t>Power architecture is evolving toward 800V DC and ±400V DC for rack-level power.</w:t>
      </w:r>
      <w:r>
        <w:rPr>
          <w:rFonts w:ascii="Calibri" w:hAnsi="Calibri"/>
          <w:color w:val="525866"/>
          <w:sz w:val="22"/>
        </w:rPr>
        <w:t xml:space="preserve"> Physical limits are being approached at 350–400kW at the rack level; power shelves are moving out of the rack into stand-alone power centers. Vertiv has lab-level validation with a customer for this architecture, with commercialization in early 2027. </w:t>
      </w:r>
      <w:r>
        <w:rPr>
          <w:rFonts w:ascii="Calibri" w:hAnsi="Calibri"/>
          <w:b/>
          <w:color w:val="525866"/>
          <w:sz w:val="22"/>
        </w:rPr>
        <w:t>Read-through: FLEX's 800V DC embedded power strategy (in collaboration with Nvidia) is aligned with the industry's architectural direction — not a niche bet.</w:t>
      </w:r>
    </w:p>
    <w:p>
      <w:pPr>
        <w:pStyle w:val="ListBullet"/>
        <w:ind w:left="360" w:hanging="360"/>
      </w:pPr>
      <w:r>
        <w:rPr>
          <w:rFonts w:ascii="Calibri" w:hAnsi="Calibri"/>
          <w:b/>
          <w:color w:val="525866"/>
          <w:sz w:val="22"/>
        </w:rPr>
        <w:t>Liquid cooling is now mission-critical, with only 1–2 seconds of thermal inertia.</w:t>
      </w:r>
      <w:r>
        <w:rPr>
          <w:rFonts w:ascii="Calibri" w:hAnsi="Calibri"/>
          <w:color w:val="525866"/>
          <w:sz w:val="22"/>
        </w:rPr>
        <w:t xml:space="preserve"> Latest-gen AI environments are ~80% liquid / 20% air, potentially moving to 90–95% liquid. Vertiv is investing in a 1.5MW AI pod validation lab. </w:t>
      </w:r>
      <w:r>
        <w:rPr>
          <w:rFonts w:ascii="Calibri" w:hAnsi="Calibri"/>
          <w:b/>
          <w:color w:val="525866"/>
          <w:sz w:val="22"/>
        </w:rPr>
        <w:t>Read-through: Thermal management complexity is increasing, validating FLEX CPI's JetCool (CDU) acquisition and cooling capabilities.</w:t>
      </w:r>
    </w:p>
    <w:p>
      <w:pPr>
        <w:pStyle w:val="ListBullet"/>
        <w:ind w:left="360" w:hanging="360"/>
      </w:pPr>
      <w:r>
        <w:rPr>
          <w:rFonts w:ascii="Calibri" w:hAnsi="Calibri"/>
          <w:b/>
          <w:color w:val="525866"/>
          <w:sz w:val="22"/>
        </w:rPr>
        <w:t>Vertiv's $3B AI cloud target for FY27 is ahead of schedule; market is strong and will remain strong long-term.</w:t>
      </w:r>
      <w:r>
        <w:rPr>
          <w:rFonts w:ascii="Calibri" w:hAnsi="Calibri"/>
          <w:color w:val="525866"/>
          <w:sz w:val="22"/>
        </w:rPr>
        <w:t xml:space="preserve"> Vertiv is making a 20% annual increase in engineering investment to maintain technology leadership. </w:t>
      </w:r>
      <w:r>
        <w:rPr>
          <w:rFonts w:ascii="Calibri" w:hAnsi="Calibri"/>
          <w:b/>
          <w:color w:val="525866"/>
          <w:sz w:val="22"/>
        </w:rPr>
        <w:t>Read-through: Vertiv's confidence in the long-term AI infrastructure market validates FLEX SpinCo's multi-year growth targets. Vertiv's higher operating margins (vs. FLEX CPI's mid-teens) confirm the margin expansion opportunity management has guided toward.</w:t>
      </w:r>
    </w:p>
    <w:p>
      <w:pPr>
        <w:pStyle w:val="ListBullet"/>
        <w:ind w:left="360" w:hanging="360"/>
      </w:pPr>
      <w:r>
        <w:rPr>
          <w:rFonts w:ascii="Calibri" w:hAnsi="Calibri"/>
          <w:b/>
          <w:color w:val="525866"/>
          <w:sz w:val="22"/>
        </w:rPr>
        <w:t>Grid interaction is becoming critical: restrictions on interconnect, long delays, limited grid capacity, and increased grid compliance requirements.</w:t>
      </w:r>
      <w:r>
        <w:rPr>
          <w:rFonts w:ascii="Calibri" w:hAnsi="Calibri"/>
          <w:color w:val="525866"/>
          <w:sz w:val="22"/>
        </w:rPr>
        <w:t xml:space="preserve"> Vertiv is launching a new MV BESS UPS product category integrating medium voltage switchgear, battery energy storage, and UPS intelligence. </w:t>
      </w:r>
      <w:r>
        <w:rPr>
          <w:rFonts w:ascii="Calibri" w:hAnsi="Calibri"/>
          <w:b/>
          <w:color w:val="525866"/>
          <w:sz w:val="22"/>
        </w:rPr>
        <w:t>Read-through: Grid-to-chip power complexity is increasing — directly relevant to FLEX SpinCo's utility and grid business (EP² acquisition in Iowa, Georgetown Texas facility).</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FLEX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Jabil (JBL)</w:t>
            </w:r>
          </w:p>
        </w:tc>
        <w:tc>
          <w:tcPr>
            <w:tcW w:type="dxa" w:w="2160"/>
          </w:tcPr>
          <w:p>
            <w:r>
              <w:rPr>
                <w:rFonts w:ascii="Calibri" w:hAnsi="Calibri"/>
                <w:sz w:val="22"/>
              </w:rPr>
              <w:t>Jun 17, 2026</w:t>
            </w:r>
          </w:p>
        </w:tc>
        <w:tc>
          <w:tcPr>
            <w:tcW w:type="dxa" w:w="2160"/>
          </w:tcPr>
          <w:p>
            <w:r>
              <w:rPr>
                <w:rFonts w:ascii="Calibri" w:hAnsi="Calibri"/>
                <w:sz w:val="22"/>
              </w:rPr>
              <w:t>AI revenue raised to $13.6B (+50% YoY); 3rd hyperscaler win; FY27 AI growth ~50% again on larger base; auto stronger than expected</w:t>
            </w:r>
          </w:p>
        </w:tc>
        <w:tc>
          <w:tcPr>
            <w:tcW w:type="dxa" w:w="2160"/>
          </w:tcPr>
          <w:p>
            <w:r>
              <w:rPr>
                <w:rFonts w:ascii="Calibri" w:hAnsi="Calibri"/>
                <w:b/>
                <w:color w:val="30A46C"/>
                <w:sz w:val="22"/>
              </w:rPr>
              <w:t>Positive</w:t>
            </w:r>
          </w:p>
        </w:tc>
      </w:tr>
      <w:tr>
        <w:tc>
          <w:tcPr>
            <w:tcW w:type="dxa" w:w="2160"/>
          </w:tcPr>
          <w:p>
            <w:r>
              <w:rPr>
                <w:rFonts w:ascii="Calibri" w:hAnsi="Calibri"/>
                <w:sz w:val="22"/>
              </w:rPr>
              <w:t>Sanmina (SANM)</w:t>
            </w:r>
          </w:p>
        </w:tc>
        <w:tc>
          <w:tcPr>
            <w:tcW w:type="dxa" w:w="2160"/>
          </w:tcPr>
          <w:p>
            <w:r>
              <w:rPr>
                <w:rFonts w:ascii="Calibri" w:hAnsi="Calibri"/>
                <w:sz w:val="22"/>
              </w:rPr>
              <w:t>Jul 27, 2026</w:t>
            </w:r>
          </w:p>
        </w:tc>
        <w:tc>
          <w:tcPr>
            <w:tcW w:type="dxa" w:w="2160"/>
          </w:tcPr>
          <w:p>
            <w:r>
              <w:rPr>
                <w:rFonts w:ascii="Calibri" w:hAnsi="Calibri"/>
                <w:sz w:val="22"/>
              </w:rPr>
              <w:t>AI/cloud 173% YoY; FY27 $16B+ reaffirmed with higher confidence; H2 FY27 growth higher than H1; book-to-bill &gt;1.1</w:t>
            </w:r>
          </w:p>
        </w:tc>
        <w:tc>
          <w:tcPr>
            <w:tcW w:type="dxa" w:w="2160"/>
          </w:tcPr>
          <w:p>
            <w:r>
              <w:rPr>
                <w:rFonts w:ascii="Calibri" w:hAnsi="Calibri"/>
                <w:b/>
                <w:color w:val="30A46C"/>
                <w:sz w:val="22"/>
              </w:rPr>
              <w:t>Positive</w:t>
            </w:r>
          </w:p>
        </w:tc>
      </w:tr>
      <w:tr>
        <w:tc>
          <w:tcPr>
            <w:tcW w:type="dxa" w:w="2160"/>
          </w:tcPr>
          <w:p>
            <w:r>
              <w:rPr>
                <w:rFonts w:ascii="Calibri" w:hAnsi="Calibri"/>
                <w:sz w:val="22"/>
              </w:rPr>
              <w:t>TE Connectivity (TEL)</w:t>
            </w:r>
          </w:p>
        </w:tc>
        <w:tc>
          <w:tcPr>
            <w:tcW w:type="dxa" w:w="2160"/>
          </w:tcPr>
          <w:p>
            <w:r>
              <w:rPr>
                <w:rFonts w:ascii="Calibri" w:hAnsi="Calibri"/>
                <w:sz w:val="22"/>
              </w:rPr>
              <w:t>Jul 22, 2026</w:t>
            </w:r>
          </w:p>
        </w:tc>
        <w:tc>
          <w:tcPr>
            <w:tcW w:type="dxa" w:w="2160"/>
          </w:tcPr>
          <w:p>
            <w:r>
              <w:rPr>
                <w:rFonts w:ascii="Calibri" w:hAnsi="Calibri"/>
                <w:sz w:val="22"/>
              </w:rPr>
              <w:t>DDN orders +70% YTD; $3B AI target ahead of schedule; record backlog; 800V power connectivity growing; auto content outperformance</w:t>
            </w:r>
          </w:p>
        </w:tc>
        <w:tc>
          <w:tcPr>
            <w:tcW w:type="dxa" w:w="2160"/>
          </w:tcPr>
          <w:p>
            <w:r>
              <w:rPr>
                <w:rFonts w:ascii="Calibri" w:hAnsi="Calibri"/>
                <w:b/>
                <w:color w:val="30A46C"/>
                <w:sz w:val="22"/>
              </w:rPr>
              <w:t>Positive</w:t>
            </w:r>
          </w:p>
        </w:tc>
      </w:tr>
      <w:tr>
        <w:tc>
          <w:tcPr>
            <w:tcW w:type="dxa" w:w="2160"/>
          </w:tcPr>
          <w:p>
            <w:r>
              <w:rPr>
                <w:rFonts w:ascii="Calibri" w:hAnsi="Calibri"/>
                <w:sz w:val="22"/>
              </w:rPr>
              <w:t>Google (GOOGL)</w:t>
            </w:r>
          </w:p>
        </w:tc>
        <w:tc>
          <w:tcPr>
            <w:tcW w:type="dxa" w:w="2160"/>
          </w:tcPr>
          <w:p>
            <w:r>
              <w:rPr>
                <w:rFonts w:ascii="Calibri" w:hAnsi="Calibri"/>
                <w:sz w:val="22"/>
              </w:rPr>
              <w:t>Jul 22, 2026</w:t>
            </w:r>
          </w:p>
        </w:tc>
        <w:tc>
          <w:tcPr>
            <w:tcW w:type="dxa" w:w="2160"/>
          </w:tcPr>
          <w:p>
            <w:r>
              <w:rPr>
                <w:rFonts w:ascii="Calibri" w:hAnsi="Calibri"/>
                <w:sz w:val="22"/>
              </w:rPr>
              <w:t>Cloud +82% YoY; CapEx raised to $195–$205B; supply-constrained; expanding 3rd-party capacity in Q3; TPU sales ramp in 2027</w:t>
            </w:r>
          </w:p>
        </w:tc>
        <w:tc>
          <w:tcPr>
            <w:tcW w:type="dxa" w:w="2160"/>
          </w:tcPr>
          <w:p>
            <w:r>
              <w:rPr>
                <w:rFonts w:ascii="Calibri" w:hAnsi="Calibri"/>
                <w:b/>
                <w:color w:val="30A46C"/>
                <w:sz w:val="22"/>
              </w:rPr>
              <w:t>Positive</w:t>
            </w:r>
          </w:p>
        </w:tc>
      </w:tr>
      <w:tr>
        <w:tc>
          <w:tcPr>
            <w:tcW w:type="dxa" w:w="2160"/>
          </w:tcPr>
          <w:p>
            <w:r>
              <w:rPr>
                <w:rFonts w:ascii="Calibri" w:hAnsi="Calibri"/>
                <w:sz w:val="22"/>
              </w:rPr>
              <w:t>NVIDIA (NVDA)</w:t>
            </w:r>
          </w:p>
        </w:tc>
        <w:tc>
          <w:tcPr>
            <w:tcW w:type="dxa" w:w="2160"/>
          </w:tcPr>
          <w:p>
            <w:r>
              <w:rPr>
                <w:rFonts w:ascii="Calibri" w:hAnsi="Calibri"/>
                <w:sz w:val="22"/>
              </w:rPr>
              <w:t>May 20, 2026</w:t>
            </w:r>
          </w:p>
        </w:tc>
        <w:tc>
          <w:tcPr>
            <w:tcW w:type="dxa" w:w="2160"/>
          </w:tcPr>
          <w:p>
            <w:r>
              <w:rPr>
                <w:rFonts w:ascii="Calibri" w:hAnsi="Calibri"/>
                <w:sz w:val="22"/>
              </w:rPr>
              <w:t>Data Center +92% YoY; Vera Rubin shipments H2 FY27; $1T Blackwell+Rubin revenue 2025–2027; hyperscale CapEx &gt;$1T in 2027</w:t>
            </w:r>
          </w:p>
        </w:tc>
        <w:tc>
          <w:tcPr>
            <w:tcW w:type="dxa" w:w="2160"/>
          </w:tcPr>
          <w:p>
            <w:r>
              <w:rPr>
                <w:rFonts w:ascii="Calibri" w:hAnsi="Calibri"/>
                <w:b/>
                <w:color w:val="30A46C"/>
                <w:sz w:val="22"/>
              </w:rPr>
              <w:t>Positive</w:t>
            </w:r>
          </w:p>
        </w:tc>
      </w:tr>
      <w:tr>
        <w:tc>
          <w:tcPr>
            <w:tcW w:type="dxa" w:w="2160"/>
          </w:tcPr>
          <w:p>
            <w:r>
              <w:rPr>
                <w:rFonts w:ascii="Calibri" w:hAnsi="Calibri"/>
                <w:sz w:val="22"/>
              </w:rPr>
              <w:t>Vertiv (VRT)</w:t>
            </w:r>
          </w:p>
        </w:tc>
        <w:tc>
          <w:tcPr>
            <w:tcW w:type="dxa" w:w="2160"/>
          </w:tcPr>
          <w:p>
            <w:r>
              <w:rPr>
                <w:rFonts w:ascii="Calibri" w:hAnsi="Calibri"/>
                <w:sz w:val="22"/>
              </w:rPr>
              <w:t>May 20, 2026</w:t>
            </w:r>
          </w:p>
        </w:tc>
        <w:tc>
          <w:tcPr>
            <w:tcW w:type="dxa" w:w="2160"/>
          </w:tcPr>
          <w:p>
            <w:r>
              <w:rPr>
                <w:rFonts w:ascii="Calibri" w:hAnsi="Calibri"/>
                <w:sz w:val="22"/>
              </w:rPr>
              <w:t>Rack density to 600kW+; 800V DC architecture validated; liquid cooling mission-critical; market strong long-term; grid complexity increasing</w:t>
            </w:r>
          </w:p>
        </w:tc>
        <w:tc>
          <w:tcPr>
            <w:tcW w:type="dxa" w:w="2160"/>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the May 5 earnings print is the </w:t>
      </w:r>
      <w:r>
        <w:rPr>
          <w:rFonts w:ascii="Calibri" w:hAnsi="Calibri"/>
          <w:b/>
          <w:color w:val="525866"/>
          <w:sz w:val="22"/>
        </w:rPr>
        <w:t>CPI spin-off announcement and its structural implications</w:t>
      </w:r>
      <w:r>
        <w:rPr>
          <w:rFonts w:ascii="Calibri" w:hAnsi="Calibri"/>
          <w:color w:val="525866"/>
          <w:sz w:val="22"/>
        </w:rPr>
        <w:t xml:space="preserve"> — the most significant corporate action in FLEX's history. All subsequent news (bonus plan, earnings date announcement) is consistent with the spin-off execution timeline. No negative developments have emerged.</w:t>
      </w:r>
    </w:p>
    <w:p>
      <w:pPr>
        <w:pStyle w:val="ListBullet"/>
        <w:ind w:left="360" w:hanging="360"/>
      </w:pPr>
      <w:r>
        <w:rPr>
          <w:rFonts w:ascii="Calibri" w:hAnsi="Calibri"/>
          <w:b/>
          <w:color w:val="525866"/>
          <w:sz w:val="22"/>
        </w:rPr>
        <w:t>May 5, 2026 — Q4 FY26 Earnings Beat + CPI Spin-Off Announced (dominant catalyst).</w:t>
      </w:r>
      <w:r>
        <w:rPr>
          <w:rFonts w:ascii="Calibri" w:hAnsi="Calibri"/>
          <w:color w:val="525866"/>
          <w:sz w:val="22"/>
        </w:rPr>
        <w:t xml:space="preserve"> FLEX reported Q4 FY26 revenue of $7.477B (+17% YoY) and adj. EPS of $0.93 (+27% YoY), both well above consensus. Simultaneously announced the spin-off of the Cloud and Power Infrastructure (CPI) segment into an independent publicly traded company (SpinCo), targeted to close in Q1 calendar 2027. CEO Revathy Advaithi will lead SpinCo; Michael Hartung named CEO of Flex RemainCo. FY27 guidance of $32.3B–$33.8B revenue and $4.21–$4.51 adj. EPS issued, well above prior expectations. Multi-year Google contract disclosed. Stock surged ~40% overnight. </w:t>
      </w:r>
      <w:r>
        <w:rPr>
          <w:rFonts w:ascii="Calibri" w:hAnsi="Calibri"/>
          <w:b/>
          <w:color w:val="525866"/>
          <w:sz w:val="22"/>
        </w:rPr>
        <w:t>Implication: Structural re-rating event; SpinCo positions FLEX as a pure-play AI infrastructure company while RemainCo focuses on advanced manufacturing.</w:t>
      </w:r>
    </w:p>
    <w:p>
      <w:pPr>
        <w:pStyle w:val="ListBullet"/>
        <w:ind w:left="360" w:hanging="360"/>
      </w:pPr>
      <w:r>
        <w:rPr>
          <w:rFonts w:ascii="Calibri" w:hAnsi="Calibri"/>
          <w:b/>
          <w:color w:val="525866"/>
          <w:sz w:val="22"/>
        </w:rPr>
        <w:t>May 5, 2026 — Nvidia 800V DC Power Rack Partnership Disclosed.</w:t>
      </w:r>
      <w:r>
        <w:rPr>
          <w:rFonts w:ascii="Calibri" w:hAnsi="Calibri"/>
          <w:color w:val="525866"/>
          <w:sz w:val="22"/>
        </w:rPr>
        <w:t xml:space="preserve"> FLEX announced it launched an 800 VDC Power Rack developed in collaboration with Nvidia to support the Nvidia Vera Rubin platform. The disaggregated architecture shifts power products out of the IT rack to maximize compute density. </w:t>
      </w:r>
      <w:r>
        <w:rPr>
          <w:rFonts w:ascii="Calibri" w:hAnsi="Calibri"/>
          <w:b/>
          <w:color w:val="525866"/>
          <w:sz w:val="22"/>
        </w:rPr>
        <w:t>Implication: Positions FLEX CPI at the leading edge of next-generation GPU power architecture; Vera Rubin shipments begin H2 FY27.</w:t>
      </w:r>
    </w:p>
    <w:p>
      <w:pPr>
        <w:pStyle w:val="ListBullet"/>
        <w:ind w:left="360" w:hanging="360"/>
      </w:pPr>
      <w:r>
        <w:rPr>
          <w:rFonts w:ascii="Calibri" w:hAnsi="Calibri"/>
          <w:b/>
          <w:color w:val="525866"/>
          <w:sz w:val="22"/>
        </w:rPr>
        <w:t>May 5, 2026 — AMD Helios Rack Manufacturing Partnership Disclosed.</w:t>
      </w:r>
      <w:r>
        <w:rPr>
          <w:rFonts w:ascii="Calibri" w:hAnsi="Calibri"/>
          <w:color w:val="525866"/>
          <w:sz w:val="22"/>
        </w:rPr>
        <w:t xml:space="preserve"> FLEX announced it is manufacturing the compute tray for the AMD Helios rack, serving as AMD's North American integration partner. </w:t>
      </w:r>
      <w:r>
        <w:rPr>
          <w:rFonts w:ascii="Calibri" w:hAnsi="Calibri"/>
          <w:b/>
          <w:color w:val="525866"/>
          <w:sz w:val="22"/>
        </w:rPr>
        <w:t>Implication: Diversifies FLEX CPI's silicon provider exposure beyond Nvidia; demonstrates breadth of hyperscaler and OEM relationships.</w:t>
      </w:r>
    </w:p>
    <w:p>
      <w:pPr>
        <w:pStyle w:val="ListBullet"/>
        <w:ind w:left="360" w:hanging="360"/>
      </w:pPr>
      <w:r>
        <w:rPr>
          <w:rFonts w:ascii="Calibri" w:hAnsi="Calibri"/>
          <w:b/>
          <w:color w:val="525866"/>
          <w:sz w:val="22"/>
        </w:rPr>
        <w:t>May 5, 2026 — Georgetown, Texas Facility and EP² (Iowa) Acquisition Disclosed.</w:t>
      </w:r>
      <w:r>
        <w:rPr>
          <w:rFonts w:ascii="Calibri" w:hAnsi="Calibri"/>
          <w:color w:val="525866"/>
          <w:sz w:val="22"/>
        </w:rPr>
        <w:t xml:space="preserve"> FLEX disclosed a newly leased facility in Georgetown, Texas providing significant power capacity, and the EP² acquisition in Des Moines, Iowa for the utility business. Both support SpinCo's grid-to-chip power strategy. </w:t>
      </w:r>
      <w:r>
        <w:rPr>
          <w:rFonts w:ascii="Calibri" w:hAnsi="Calibri"/>
          <w:b/>
          <w:color w:val="525866"/>
          <w:sz w:val="22"/>
        </w:rPr>
        <w:t>Implication: Physical infrastructure for FY27 and FY28 capacity is being secured; CapEx elevated in FY27 as guided.</w:t>
      </w:r>
    </w:p>
    <w:p>
      <w:pPr>
        <w:pStyle w:val="ListBullet"/>
        <w:ind w:left="360" w:hanging="360"/>
      </w:pPr>
      <w:r>
        <w:rPr>
          <w:rFonts w:ascii="Calibri" w:hAnsi="Calibri"/>
          <w:b/>
          <w:color w:val="525866"/>
          <w:sz w:val="22"/>
        </w:rPr>
        <w:t>June 12, 2026 — Board Approves FY27 Executive Bonus Plan Tied to Profit, Cash Flow, and Revenue (8-K).</w:t>
      </w:r>
      <w:r>
        <w:rPr>
          <w:rFonts w:ascii="Calibri" w:hAnsi="Calibri"/>
          <w:color w:val="525866"/>
          <w:sz w:val="22"/>
        </w:rPr>
        <w:t xml:space="preserve"> The FY27 executive bonus plan metrics are consistent with the guided revenue ($32.3B–$33.8B), profit, and cash flow framework. </w:t>
      </w:r>
      <w:r>
        <w:rPr>
          <w:rFonts w:ascii="Calibri" w:hAnsi="Calibri"/>
          <w:b/>
          <w:color w:val="525866"/>
          <w:sz w:val="22"/>
        </w:rPr>
        <w:t>Implication: Management incentives are aligned with the guided FY27 targets; no indication of guidance revision.</w:t>
      </w:r>
    </w:p>
    <w:p>
      <w:pPr>
        <w:pStyle w:val="ListBullet"/>
        <w:ind w:left="360" w:hanging="360"/>
      </w:pPr>
      <w:r>
        <w:rPr>
          <w:rFonts w:ascii="Calibri" w:hAnsi="Calibri"/>
          <w:b/>
          <w:color w:val="525866"/>
          <w:sz w:val="22"/>
        </w:rPr>
        <w:t>July 8, 2026 — FLEX Announces Q1 FY27 Earnings Call Date (Press Release).</w:t>
      </w:r>
      <w:r>
        <w:rPr>
          <w:rFonts w:ascii="Calibri" w:hAnsi="Calibri"/>
          <w:color w:val="525866"/>
          <w:sz w:val="22"/>
        </w:rPr>
        <w:t xml:space="preserve"> FLEX announced the date for its Q1 FY27 earnings call (exact date in August 2026). </w:t>
      </w:r>
      <w:r>
        <w:rPr>
          <w:rFonts w:ascii="Calibri" w:hAnsi="Calibri"/>
          <w:b/>
          <w:color w:val="525866"/>
          <w:sz w:val="22"/>
        </w:rPr>
        <w:t>Implication: Routine administrative announcement; confirms earnings timeline is on track.</w:t>
      </w:r>
    </w:p>
    <w:p>
      <w:pPr>
        <w:pStyle w:val="ListBullet"/>
        <w:ind w:left="360" w:hanging="360"/>
      </w:pPr>
      <w:r>
        <w:rPr>
          <w:rFonts w:ascii="Calibri" w:hAnsi="Calibri"/>
          <w:b/>
          <w:color w:val="525866"/>
          <w:sz w:val="22"/>
        </w:rPr>
        <w:t>May 20, 2026 — Vertiv Investor Conference: AI Power Architecture Validation.</w:t>
      </w:r>
      <w:r>
        <w:rPr>
          <w:rFonts w:ascii="Calibri" w:hAnsi="Calibri"/>
          <w:color w:val="525866"/>
          <w:sz w:val="22"/>
        </w:rPr>
        <w:t xml:space="preserve"> Vertiv's detailed presentation on 800V DC power architecture, liquid cooling, and grid-to-chip infrastructure validated the technology direction FLEX CPI is pursuing. Vertiv's higher operating margins (vs. FLEX CPI's mid-teens) confirm the margin expansion opportunity. </w:t>
      </w:r>
      <w:r>
        <w:rPr>
          <w:rFonts w:ascii="Calibri" w:hAnsi="Calibri"/>
          <w:b/>
          <w:color w:val="525866"/>
          <w:sz w:val="22"/>
        </w:rPr>
        <w:t>Implication: Industry validation of FLEX SpinCo's technology roadmap and long-term margin targets.</w:t>
      </w:r>
    </w:p>
    <w:p>
      <w:pPr>
        <w:pStyle w:val="ListBullet"/>
        <w:ind w:left="360" w:hanging="360"/>
      </w:pPr>
      <w:r>
        <w:rPr>
          <w:rFonts w:ascii="Calibri" w:hAnsi="Calibri"/>
          <w:b/>
          <w:color w:val="525866"/>
          <w:sz w:val="22"/>
        </w:rPr>
        <w:t>June 17, 2026 — Jabil Q3 FY26 Earnings: AI Revenue Raised to $13.6B.</w:t>
      </w:r>
      <w:r>
        <w:rPr>
          <w:rFonts w:ascii="Calibri" w:hAnsi="Calibri"/>
          <w:color w:val="525866"/>
          <w:sz w:val="22"/>
        </w:rPr>
        <w:t xml:space="preserve"> JBL raised its FY26 AI revenue outlook by $500M and announced a third hyperscaler win. Confirms the AI infrastructure manufacturing market is large enough to support multiple large-scale players. </w:t>
      </w:r>
      <w:r>
        <w:rPr>
          <w:rFonts w:ascii="Calibri" w:hAnsi="Calibri"/>
          <w:b/>
          <w:color w:val="525866"/>
          <w:sz w:val="22"/>
        </w:rPr>
        <w:t>Implication: Competitive intensity is increasing but demand is growing faster than supply — net positive for FLEX CPI.</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May 5 earnings print are </w:t>
      </w:r>
      <w:r>
        <w:rPr>
          <w:rFonts w:ascii="Calibri" w:hAnsi="Calibri"/>
          <w:b/>
          <w:color w:val="525866"/>
          <w:sz w:val="22"/>
        </w:rPr>
        <w:t>open-market sales, with the vast majority executed under pre-established 10b5-1 plans</w:t>
      </w:r>
      <w:r>
        <w:rPr>
          <w:rFonts w:ascii="Calibri" w:hAnsi="Calibri"/>
          <w:color w:val="525866"/>
          <w:sz w:val="22"/>
        </w:rPr>
        <w:t xml:space="preserve"> — indicating planned, obligation-driven dispositions rather than discretionary selling. The volume of sales is notable (CEO Advaithi sold ~474K shares since May 5), but the 10b5-1 plan designation significantly reduces the negative signal. No open-market buys have been filed. Director McSweeney's sales (5,500 shares total) appear to be discretionary (no 10b5-1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Advaithi Revathi</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114,090</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Advaithi Revathi</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83,500</w:t>
            </w:r>
          </w:p>
        </w:tc>
        <w:tc>
          <w:tcPr>
            <w:tcW w:type="dxa" w:w="1440"/>
          </w:tcPr>
          <w:p>
            <w:r>
              <w:rPr>
                <w:rFonts w:ascii="Calibri" w:hAnsi="Calibri"/>
                <w:sz w:val="22"/>
              </w:rPr>
              <w:t>May 22, 2026</w:t>
            </w:r>
          </w:p>
        </w:tc>
        <w:tc>
          <w:tcPr>
            <w:tcW w:type="dxa" w:w="1440"/>
          </w:tcPr>
          <w:p>
            <w:r>
              <w:rPr>
                <w:rFonts w:ascii="Calibri" w:hAnsi="Calibri"/>
                <w:sz w:val="22"/>
              </w:rPr>
              <w:t>10b5-1 Planned Sale</w:t>
            </w:r>
          </w:p>
        </w:tc>
      </w:tr>
      <w:tr>
        <w:tc>
          <w:tcPr>
            <w:tcW w:type="dxa" w:w="1440"/>
          </w:tcPr>
          <w:p>
            <w:r>
              <w:rPr>
                <w:rFonts w:ascii="Calibri" w:hAnsi="Calibri"/>
                <w:sz w:val="22"/>
              </w:rPr>
              <w:t>Advaithi Revathi</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39,239</w:t>
            </w:r>
          </w:p>
        </w:tc>
        <w:tc>
          <w:tcPr>
            <w:tcW w:type="dxa" w:w="1440"/>
          </w:tcPr>
          <w:p>
            <w:r>
              <w:rPr>
                <w:rFonts w:ascii="Calibri" w:hAnsi="Calibri"/>
                <w:sz w:val="22"/>
              </w:rPr>
              <w:t>Jun 15, 2026</w:t>
            </w:r>
          </w:p>
        </w:tc>
        <w:tc>
          <w:tcPr>
            <w:tcW w:type="dxa" w:w="1440"/>
          </w:tcPr>
          <w:p>
            <w:r>
              <w:rPr>
                <w:rFonts w:ascii="Calibri" w:hAnsi="Calibri"/>
                <w:sz w:val="22"/>
              </w:rPr>
              <w:t>10b5-1 Planned Sale</w:t>
            </w:r>
          </w:p>
        </w:tc>
      </w:tr>
      <w:tr>
        <w:tc>
          <w:tcPr>
            <w:tcW w:type="dxa" w:w="1440"/>
          </w:tcPr>
          <w:p>
            <w:r>
              <w:rPr>
                <w:rFonts w:ascii="Calibri" w:hAnsi="Calibri"/>
                <w:sz w:val="22"/>
              </w:rPr>
              <w:t>Advaithi Revathi</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197,879</w:t>
            </w:r>
          </w:p>
        </w:tc>
        <w:tc>
          <w:tcPr>
            <w:tcW w:type="dxa" w:w="1440"/>
          </w:tcPr>
          <w:p>
            <w:r>
              <w:rPr>
                <w:rFonts w:ascii="Calibri" w:hAnsi="Calibri"/>
                <w:sz w:val="22"/>
              </w:rPr>
              <w:t>Jun 17, 2026</w:t>
            </w:r>
          </w:p>
        </w:tc>
        <w:tc>
          <w:tcPr>
            <w:tcW w:type="dxa" w:w="1440"/>
          </w:tcPr>
          <w:p>
            <w:r>
              <w:rPr>
                <w:rFonts w:ascii="Calibri" w:hAnsi="Calibri"/>
                <w:sz w:val="22"/>
              </w:rPr>
              <w:t>10b5-1 Planned Sale</w:t>
            </w:r>
          </w:p>
        </w:tc>
      </w:tr>
      <w:tr>
        <w:tc>
          <w:tcPr>
            <w:tcW w:type="dxa" w:w="1440"/>
          </w:tcPr>
          <w:p>
            <w:r>
              <w:rPr>
                <w:rFonts w:ascii="Calibri" w:hAnsi="Calibri"/>
                <w:sz w:val="22"/>
              </w:rPr>
              <w:t>Advaithi Revathi</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39,188</w:t>
            </w:r>
          </w:p>
        </w:tc>
        <w:tc>
          <w:tcPr>
            <w:tcW w:type="dxa" w:w="1440"/>
          </w:tcPr>
          <w:p>
            <w:r>
              <w:rPr>
                <w:rFonts w:ascii="Calibri" w:hAnsi="Calibri"/>
                <w:sz w:val="22"/>
              </w:rPr>
              <w:t>Jun 18, 2026</w:t>
            </w:r>
          </w:p>
        </w:tc>
        <w:tc>
          <w:tcPr>
            <w:tcW w:type="dxa" w:w="1440"/>
          </w:tcPr>
          <w:p>
            <w:r>
              <w:rPr>
                <w:rFonts w:ascii="Calibri" w:hAnsi="Calibri"/>
                <w:sz w:val="22"/>
              </w:rPr>
              <w:t>10b5-1 Planned Sale</w:t>
            </w:r>
          </w:p>
        </w:tc>
      </w:tr>
      <w:tr>
        <w:tc>
          <w:tcPr>
            <w:tcW w:type="dxa" w:w="1440"/>
          </w:tcPr>
          <w:p>
            <w:r>
              <w:rPr>
                <w:rFonts w:ascii="Calibri" w:hAnsi="Calibri"/>
                <w:sz w:val="22"/>
              </w:rPr>
              <w:t>Hartung Michael P</w:t>
            </w:r>
          </w:p>
        </w:tc>
        <w:tc>
          <w:tcPr>
            <w:tcW w:type="dxa" w:w="1440"/>
          </w:tcPr>
          <w:p>
            <w:r>
              <w:rPr>
                <w:rFonts w:ascii="Calibri" w:hAnsi="Calibri"/>
                <w:sz w:val="22"/>
              </w:rPr>
              <w:t>Chief Commercial Officer (incoming CEO)</w:t>
            </w:r>
          </w:p>
        </w:tc>
        <w:tc>
          <w:tcPr>
            <w:tcW w:type="dxa" w:w="1440"/>
          </w:tcPr>
          <w:p>
            <w:r>
              <w:rPr>
                <w:rFonts w:ascii="Calibri" w:hAnsi="Calibri"/>
                <w:sz w:val="22"/>
              </w:rPr>
              <w:t>Open Market Sale</w:t>
            </w:r>
          </w:p>
        </w:tc>
        <w:tc>
          <w:tcPr>
            <w:tcW w:type="dxa" w:w="1440"/>
          </w:tcPr>
          <w:p>
            <w:r>
              <w:rPr>
                <w:rFonts w:ascii="Calibri" w:hAnsi="Calibri"/>
                <w:sz w:val="22"/>
              </w:rPr>
              <w:t>22,216</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Hartung Michael P</w:t>
            </w:r>
          </w:p>
        </w:tc>
        <w:tc>
          <w:tcPr>
            <w:tcW w:type="dxa" w:w="1440"/>
          </w:tcPr>
          <w:p>
            <w:r>
              <w:rPr>
                <w:rFonts w:ascii="Calibri" w:hAnsi="Calibri"/>
                <w:sz w:val="22"/>
              </w:rPr>
              <w:t>Chief Commercial Officer (incoming CEO)</w:t>
            </w:r>
          </w:p>
        </w:tc>
        <w:tc>
          <w:tcPr>
            <w:tcW w:type="dxa" w:w="1440"/>
          </w:tcPr>
          <w:p>
            <w:r>
              <w:rPr>
                <w:rFonts w:ascii="Calibri" w:hAnsi="Calibri"/>
                <w:sz w:val="22"/>
              </w:rPr>
              <w:t>Open Market Sale</w:t>
            </w:r>
          </w:p>
        </w:tc>
        <w:tc>
          <w:tcPr>
            <w:tcW w:type="dxa" w:w="1440"/>
          </w:tcPr>
          <w:p>
            <w:r>
              <w:rPr>
                <w:rFonts w:ascii="Calibri" w:hAnsi="Calibri"/>
                <w:sz w:val="22"/>
              </w:rPr>
              <w:t>8,203</w:t>
            </w:r>
          </w:p>
        </w:tc>
        <w:tc>
          <w:tcPr>
            <w:tcW w:type="dxa" w:w="1440"/>
          </w:tcPr>
          <w:p>
            <w:r>
              <w:rPr>
                <w:rFonts w:ascii="Calibri" w:hAnsi="Calibri"/>
                <w:sz w:val="22"/>
              </w:rPr>
              <w:t>Jun 15, 2026</w:t>
            </w:r>
          </w:p>
        </w:tc>
        <w:tc>
          <w:tcPr>
            <w:tcW w:type="dxa" w:w="1440"/>
          </w:tcPr>
          <w:p>
            <w:r>
              <w:rPr>
                <w:rFonts w:ascii="Calibri" w:hAnsi="Calibri"/>
                <w:sz w:val="22"/>
              </w:rPr>
              <w:t>10b5-1 Planned Sale</w:t>
            </w:r>
          </w:p>
        </w:tc>
      </w:tr>
      <w:tr>
        <w:tc>
          <w:tcPr>
            <w:tcW w:type="dxa" w:w="1440"/>
          </w:tcPr>
          <w:p>
            <w:r>
              <w:rPr>
                <w:rFonts w:ascii="Calibri" w:hAnsi="Calibri"/>
                <w:sz w:val="22"/>
              </w:rPr>
              <w:t>Hartung Michael P</w:t>
            </w:r>
          </w:p>
        </w:tc>
        <w:tc>
          <w:tcPr>
            <w:tcW w:type="dxa" w:w="1440"/>
          </w:tcPr>
          <w:p>
            <w:r>
              <w:rPr>
                <w:rFonts w:ascii="Calibri" w:hAnsi="Calibri"/>
                <w:sz w:val="22"/>
              </w:rPr>
              <w:t>Chief Commercial Officer (incoming CEO)</w:t>
            </w:r>
          </w:p>
        </w:tc>
        <w:tc>
          <w:tcPr>
            <w:tcW w:type="dxa" w:w="1440"/>
          </w:tcPr>
          <w:p>
            <w:r>
              <w:rPr>
                <w:rFonts w:ascii="Calibri" w:hAnsi="Calibri"/>
                <w:sz w:val="22"/>
              </w:rPr>
              <w:t>Open Market Sale</w:t>
            </w:r>
          </w:p>
        </w:tc>
        <w:tc>
          <w:tcPr>
            <w:tcW w:type="dxa" w:w="1440"/>
          </w:tcPr>
          <w:p>
            <w:r>
              <w:rPr>
                <w:rFonts w:ascii="Calibri" w:hAnsi="Calibri"/>
                <w:sz w:val="22"/>
              </w:rPr>
              <w:t>22,627</w:t>
            </w:r>
          </w:p>
        </w:tc>
        <w:tc>
          <w:tcPr>
            <w:tcW w:type="dxa" w:w="1440"/>
          </w:tcPr>
          <w:p>
            <w:r>
              <w:rPr>
                <w:rFonts w:ascii="Calibri" w:hAnsi="Calibri"/>
                <w:sz w:val="22"/>
              </w:rPr>
              <w:t>Jun 17, 2026</w:t>
            </w:r>
          </w:p>
        </w:tc>
        <w:tc>
          <w:tcPr>
            <w:tcW w:type="dxa" w:w="1440"/>
          </w:tcPr>
          <w:p>
            <w:r>
              <w:rPr>
                <w:rFonts w:ascii="Calibri" w:hAnsi="Calibri"/>
                <w:sz w:val="22"/>
              </w:rPr>
              <w:t>10b5-1 Planned Sale</w:t>
            </w:r>
          </w:p>
        </w:tc>
      </w:tr>
      <w:tr>
        <w:tc>
          <w:tcPr>
            <w:tcW w:type="dxa" w:w="1440"/>
          </w:tcPr>
          <w:p>
            <w:r>
              <w:rPr>
                <w:rFonts w:ascii="Calibri" w:hAnsi="Calibri"/>
                <w:sz w:val="22"/>
              </w:rPr>
              <w:t>Hartung Michael P</w:t>
            </w:r>
          </w:p>
        </w:tc>
        <w:tc>
          <w:tcPr>
            <w:tcW w:type="dxa" w:w="1440"/>
          </w:tcPr>
          <w:p>
            <w:r>
              <w:rPr>
                <w:rFonts w:ascii="Calibri" w:hAnsi="Calibri"/>
                <w:sz w:val="22"/>
              </w:rPr>
              <w:t>Chief Commercial Officer (incoming CEO)</w:t>
            </w:r>
          </w:p>
        </w:tc>
        <w:tc>
          <w:tcPr>
            <w:tcW w:type="dxa" w:w="1440"/>
          </w:tcPr>
          <w:p>
            <w:r>
              <w:rPr>
                <w:rFonts w:ascii="Calibri" w:hAnsi="Calibri"/>
                <w:sz w:val="22"/>
              </w:rPr>
              <w:t>Open Market Sale</w:t>
            </w:r>
          </w:p>
        </w:tc>
        <w:tc>
          <w:tcPr>
            <w:tcW w:type="dxa" w:w="1440"/>
          </w:tcPr>
          <w:p>
            <w:r>
              <w:rPr>
                <w:rFonts w:ascii="Calibri" w:hAnsi="Calibri"/>
                <w:sz w:val="22"/>
              </w:rPr>
              <w:t>7,269</w:t>
            </w:r>
          </w:p>
        </w:tc>
        <w:tc>
          <w:tcPr>
            <w:tcW w:type="dxa" w:w="1440"/>
          </w:tcPr>
          <w:p>
            <w:r>
              <w:rPr>
                <w:rFonts w:ascii="Calibri" w:hAnsi="Calibri"/>
                <w:sz w:val="22"/>
              </w:rPr>
              <w:t>Jun 18, 2026</w:t>
            </w:r>
          </w:p>
        </w:tc>
        <w:tc>
          <w:tcPr>
            <w:tcW w:type="dxa" w:w="1440"/>
          </w:tcPr>
          <w:p>
            <w:r>
              <w:rPr>
                <w:rFonts w:ascii="Calibri" w:hAnsi="Calibri"/>
                <w:sz w:val="22"/>
              </w:rPr>
              <w:t>Discretionary (no 10b5-1)</w:t>
            </w:r>
          </w:p>
        </w:tc>
      </w:tr>
      <w:tr>
        <w:tc>
          <w:tcPr>
            <w:tcW w:type="dxa" w:w="1440"/>
          </w:tcPr>
          <w:p>
            <w:r>
              <w:rPr>
                <w:rFonts w:ascii="Calibri" w:hAnsi="Calibri"/>
                <w:sz w:val="22"/>
              </w:rPr>
              <w:t>Krumm Kevin</w:t>
            </w:r>
          </w:p>
        </w:tc>
        <w:tc>
          <w:tcPr>
            <w:tcW w:type="dxa" w:w="1440"/>
          </w:tcPr>
          <w:p>
            <w:r>
              <w:rPr>
                <w:rFonts w:ascii="Calibri" w:hAnsi="Calibri"/>
                <w:sz w:val="22"/>
              </w:rPr>
              <w:t>CFO</w:t>
            </w:r>
          </w:p>
        </w:tc>
        <w:tc>
          <w:tcPr>
            <w:tcW w:type="dxa" w:w="1440"/>
          </w:tcPr>
          <w:p>
            <w:r>
              <w:rPr>
                <w:rFonts w:ascii="Calibri" w:hAnsi="Calibri"/>
                <w:sz w:val="22"/>
              </w:rPr>
              <w:t>Open Market Sale</w:t>
            </w:r>
          </w:p>
        </w:tc>
        <w:tc>
          <w:tcPr>
            <w:tcW w:type="dxa" w:w="1440"/>
          </w:tcPr>
          <w:p>
            <w:r>
              <w:rPr>
                <w:rFonts w:ascii="Calibri" w:hAnsi="Calibri"/>
                <w:sz w:val="22"/>
              </w:rPr>
              <w:t>3,378</w:t>
            </w:r>
          </w:p>
        </w:tc>
        <w:tc>
          <w:tcPr>
            <w:tcW w:type="dxa" w:w="1440"/>
          </w:tcPr>
          <w:p>
            <w:r>
              <w:rPr>
                <w:rFonts w:ascii="Calibri" w:hAnsi="Calibri"/>
                <w:sz w:val="22"/>
              </w:rPr>
              <w:t>Jun 15, 2026</w:t>
            </w:r>
          </w:p>
        </w:tc>
        <w:tc>
          <w:tcPr>
            <w:tcW w:type="dxa" w:w="1440"/>
          </w:tcPr>
          <w:p>
            <w:r>
              <w:rPr>
                <w:rFonts w:ascii="Calibri" w:hAnsi="Calibri"/>
                <w:sz w:val="22"/>
              </w:rPr>
              <w:t>10b5-1 Planned Sale</w:t>
            </w:r>
          </w:p>
        </w:tc>
      </w:tr>
      <w:tr>
        <w:tc>
          <w:tcPr>
            <w:tcW w:type="dxa" w:w="1440"/>
          </w:tcPr>
          <w:p>
            <w:r>
              <w:rPr>
                <w:rFonts w:ascii="Calibri" w:hAnsi="Calibri"/>
                <w:sz w:val="22"/>
              </w:rPr>
              <w:t>Tan Kwang Hooi</w:t>
            </w:r>
          </w:p>
        </w:tc>
        <w:tc>
          <w:tcPr>
            <w:tcW w:type="dxa" w:w="1440"/>
          </w:tcPr>
          <w:p>
            <w:r>
              <w:rPr>
                <w:rFonts w:ascii="Calibri" w:hAnsi="Calibri"/>
                <w:sz w:val="22"/>
              </w:rPr>
              <w:t>COO</w:t>
            </w:r>
          </w:p>
        </w:tc>
        <w:tc>
          <w:tcPr>
            <w:tcW w:type="dxa" w:w="1440"/>
          </w:tcPr>
          <w:p>
            <w:r>
              <w:rPr>
                <w:rFonts w:ascii="Calibri" w:hAnsi="Calibri"/>
                <w:sz w:val="22"/>
              </w:rPr>
              <w:t>Open Market Sale</w:t>
            </w:r>
          </w:p>
        </w:tc>
        <w:tc>
          <w:tcPr>
            <w:tcW w:type="dxa" w:w="1440"/>
          </w:tcPr>
          <w:p>
            <w:r>
              <w:rPr>
                <w:rFonts w:ascii="Calibri" w:hAnsi="Calibri"/>
                <w:sz w:val="22"/>
              </w:rPr>
              <w:t>26,175</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Tan Kwang Hooi</w:t>
            </w:r>
          </w:p>
        </w:tc>
        <w:tc>
          <w:tcPr>
            <w:tcW w:type="dxa" w:w="1440"/>
          </w:tcPr>
          <w:p>
            <w:r>
              <w:rPr>
                <w:rFonts w:ascii="Calibri" w:hAnsi="Calibri"/>
                <w:sz w:val="22"/>
              </w:rPr>
              <w:t>COO</w:t>
            </w:r>
          </w:p>
        </w:tc>
        <w:tc>
          <w:tcPr>
            <w:tcW w:type="dxa" w:w="1440"/>
          </w:tcPr>
          <w:p>
            <w:r>
              <w:rPr>
                <w:rFonts w:ascii="Calibri" w:hAnsi="Calibri"/>
                <w:sz w:val="22"/>
              </w:rPr>
              <w:t>Open Market Sale</w:t>
            </w:r>
          </w:p>
        </w:tc>
        <w:tc>
          <w:tcPr>
            <w:tcW w:type="dxa" w:w="1440"/>
          </w:tcPr>
          <w:p>
            <w:r>
              <w:rPr>
                <w:rFonts w:ascii="Calibri" w:hAnsi="Calibri"/>
                <w:sz w:val="22"/>
              </w:rPr>
              <w:t>17,500</w:t>
            </w:r>
          </w:p>
        </w:tc>
        <w:tc>
          <w:tcPr>
            <w:tcW w:type="dxa" w:w="1440"/>
          </w:tcPr>
          <w:p>
            <w:r>
              <w:rPr>
                <w:rFonts w:ascii="Calibri" w:hAnsi="Calibri"/>
                <w:sz w:val="22"/>
              </w:rPr>
              <w:t>May 26, 2026</w:t>
            </w:r>
          </w:p>
        </w:tc>
        <w:tc>
          <w:tcPr>
            <w:tcW w:type="dxa" w:w="1440"/>
          </w:tcPr>
          <w:p>
            <w:r>
              <w:rPr>
                <w:rFonts w:ascii="Calibri" w:hAnsi="Calibri"/>
                <w:sz w:val="22"/>
              </w:rPr>
              <w:t>10b5-1 Planned Sale</w:t>
            </w:r>
          </w:p>
        </w:tc>
      </w:tr>
      <w:tr>
        <w:tc>
          <w:tcPr>
            <w:tcW w:type="dxa" w:w="1440"/>
          </w:tcPr>
          <w:p>
            <w:r>
              <w:rPr>
                <w:rFonts w:ascii="Calibri" w:hAnsi="Calibri"/>
                <w:sz w:val="22"/>
              </w:rPr>
              <w:t>Tan Kwang Hooi</w:t>
            </w:r>
          </w:p>
        </w:tc>
        <w:tc>
          <w:tcPr>
            <w:tcW w:type="dxa" w:w="1440"/>
          </w:tcPr>
          <w:p>
            <w:r>
              <w:rPr>
                <w:rFonts w:ascii="Calibri" w:hAnsi="Calibri"/>
                <w:sz w:val="22"/>
              </w:rPr>
              <w:t>COO</w:t>
            </w:r>
          </w:p>
        </w:tc>
        <w:tc>
          <w:tcPr>
            <w:tcW w:type="dxa" w:w="1440"/>
          </w:tcPr>
          <w:p>
            <w:r>
              <w:rPr>
                <w:rFonts w:ascii="Calibri" w:hAnsi="Calibri"/>
                <w:sz w:val="22"/>
              </w:rPr>
              <w:t>Open Market Sale</w:t>
            </w:r>
          </w:p>
        </w:tc>
        <w:tc>
          <w:tcPr>
            <w:tcW w:type="dxa" w:w="1440"/>
          </w:tcPr>
          <w:p>
            <w:r>
              <w:rPr>
                <w:rFonts w:ascii="Calibri" w:hAnsi="Calibri"/>
                <w:sz w:val="22"/>
              </w:rPr>
              <w:t>10,540</w:t>
            </w:r>
          </w:p>
        </w:tc>
        <w:tc>
          <w:tcPr>
            <w:tcW w:type="dxa" w:w="1440"/>
          </w:tcPr>
          <w:p>
            <w:r>
              <w:rPr>
                <w:rFonts w:ascii="Calibri" w:hAnsi="Calibri"/>
                <w:sz w:val="22"/>
              </w:rPr>
              <w:t>Jun 15, 2026</w:t>
            </w:r>
          </w:p>
        </w:tc>
        <w:tc>
          <w:tcPr>
            <w:tcW w:type="dxa" w:w="1440"/>
          </w:tcPr>
          <w:p>
            <w:r>
              <w:rPr>
                <w:rFonts w:ascii="Calibri" w:hAnsi="Calibri"/>
                <w:sz w:val="22"/>
              </w:rPr>
              <w:t>10b5-1 Planned Sale</w:t>
            </w:r>
          </w:p>
        </w:tc>
      </w:tr>
      <w:tr>
        <w:tc>
          <w:tcPr>
            <w:tcW w:type="dxa" w:w="1440"/>
          </w:tcPr>
          <w:p>
            <w:r>
              <w:rPr>
                <w:rFonts w:ascii="Calibri" w:hAnsi="Calibri"/>
                <w:sz w:val="22"/>
              </w:rPr>
              <w:t>Tan Kwang Hooi</w:t>
            </w:r>
          </w:p>
        </w:tc>
        <w:tc>
          <w:tcPr>
            <w:tcW w:type="dxa" w:w="1440"/>
          </w:tcPr>
          <w:p>
            <w:r>
              <w:rPr>
                <w:rFonts w:ascii="Calibri" w:hAnsi="Calibri"/>
                <w:sz w:val="22"/>
              </w:rPr>
              <w:t>COO</w:t>
            </w:r>
          </w:p>
        </w:tc>
        <w:tc>
          <w:tcPr>
            <w:tcW w:type="dxa" w:w="1440"/>
          </w:tcPr>
          <w:p>
            <w:r>
              <w:rPr>
                <w:rFonts w:ascii="Calibri" w:hAnsi="Calibri"/>
                <w:sz w:val="22"/>
              </w:rPr>
              <w:t>Open Market Sale</w:t>
            </w:r>
          </w:p>
        </w:tc>
        <w:tc>
          <w:tcPr>
            <w:tcW w:type="dxa" w:w="1440"/>
          </w:tcPr>
          <w:p>
            <w:r>
              <w:rPr>
                <w:rFonts w:ascii="Calibri" w:hAnsi="Calibri"/>
                <w:sz w:val="22"/>
              </w:rPr>
              <w:t>26,657</w:t>
            </w:r>
          </w:p>
        </w:tc>
        <w:tc>
          <w:tcPr>
            <w:tcW w:type="dxa" w:w="1440"/>
          </w:tcPr>
          <w:p>
            <w:r>
              <w:rPr>
                <w:rFonts w:ascii="Calibri" w:hAnsi="Calibri"/>
                <w:sz w:val="22"/>
              </w:rPr>
              <w:t>Jun 17, 2026</w:t>
            </w:r>
          </w:p>
        </w:tc>
        <w:tc>
          <w:tcPr>
            <w:tcW w:type="dxa" w:w="1440"/>
          </w:tcPr>
          <w:p>
            <w:r>
              <w:rPr>
                <w:rFonts w:ascii="Calibri" w:hAnsi="Calibri"/>
                <w:sz w:val="22"/>
              </w:rPr>
              <w:t>10b5-1 Planned Sale</w:t>
            </w:r>
          </w:p>
        </w:tc>
      </w:tr>
      <w:tr>
        <w:tc>
          <w:tcPr>
            <w:tcW w:type="dxa" w:w="1440"/>
          </w:tcPr>
          <w:p>
            <w:r>
              <w:rPr>
                <w:rFonts w:ascii="Calibri" w:hAnsi="Calibri"/>
                <w:sz w:val="22"/>
              </w:rPr>
              <w:t>Tan Kwang Hooi</w:t>
            </w:r>
          </w:p>
        </w:tc>
        <w:tc>
          <w:tcPr>
            <w:tcW w:type="dxa" w:w="1440"/>
          </w:tcPr>
          <w:p>
            <w:r>
              <w:rPr>
                <w:rFonts w:ascii="Calibri" w:hAnsi="Calibri"/>
                <w:sz w:val="22"/>
              </w:rPr>
              <w:t>COO</w:t>
            </w:r>
          </w:p>
        </w:tc>
        <w:tc>
          <w:tcPr>
            <w:tcW w:type="dxa" w:w="1440"/>
          </w:tcPr>
          <w:p>
            <w:r>
              <w:rPr>
                <w:rFonts w:ascii="Calibri" w:hAnsi="Calibri"/>
                <w:sz w:val="22"/>
              </w:rPr>
              <w:t>Open Market Sale</w:t>
            </w:r>
          </w:p>
        </w:tc>
        <w:tc>
          <w:tcPr>
            <w:tcW w:type="dxa" w:w="1440"/>
          </w:tcPr>
          <w:p>
            <w:r>
              <w:rPr>
                <w:rFonts w:ascii="Calibri" w:hAnsi="Calibri"/>
                <w:sz w:val="22"/>
              </w:rPr>
              <w:t>8,981</w:t>
            </w:r>
          </w:p>
        </w:tc>
        <w:tc>
          <w:tcPr>
            <w:tcW w:type="dxa" w:w="1440"/>
          </w:tcPr>
          <w:p>
            <w:r>
              <w:rPr>
                <w:rFonts w:ascii="Calibri" w:hAnsi="Calibri"/>
                <w:sz w:val="22"/>
              </w:rPr>
              <w:t>Jun 18, 2026</w:t>
            </w:r>
          </w:p>
        </w:tc>
        <w:tc>
          <w:tcPr>
            <w:tcW w:type="dxa" w:w="1440"/>
          </w:tcPr>
          <w:p>
            <w:r>
              <w:rPr>
                <w:rFonts w:ascii="Calibri" w:hAnsi="Calibri"/>
                <w:sz w:val="22"/>
              </w:rPr>
              <w:t>Discretionary (no 10b5-1)</w:t>
            </w:r>
          </w:p>
        </w:tc>
      </w:tr>
      <w:tr>
        <w:tc>
          <w:tcPr>
            <w:tcW w:type="dxa" w:w="1440"/>
          </w:tcPr>
          <w:p>
            <w:r>
              <w:rPr>
                <w:rFonts w:ascii="Calibri" w:hAnsi="Calibri"/>
                <w:sz w:val="22"/>
              </w:rPr>
              <w:t>OFFER David Scott</w:t>
            </w:r>
          </w:p>
        </w:tc>
        <w:tc>
          <w:tcPr>
            <w:tcW w:type="dxa" w:w="1440"/>
          </w:tcPr>
          <w:p>
            <w:r>
              <w:rPr>
                <w:rFonts w:ascii="Calibri" w:hAnsi="Calibri"/>
                <w:sz w:val="22"/>
              </w:rPr>
              <w:t>EVP, General Counsel</w:t>
            </w:r>
          </w:p>
        </w:tc>
        <w:tc>
          <w:tcPr>
            <w:tcW w:type="dxa" w:w="1440"/>
          </w:tcPr>
          <w:p>
            <w:r>
              <w:rPr>
                <w:rFonts w:ascii="Calibri" w:hAnsi="Calibri"/>
                <w:sz w:val="22"/>
              </w:rPr>
              <w:t>Open Market Sale</w:t>
            </w:r>
          </w:p>
        </w:tc>
        <w:tc>
          <w:tcPr>
            <w:tcW w:type="dxa" w:w="1440"/>
          </w:tcPr>
          <w:p>
            <w:r>
              <w:rPr>
                <w:rFonts w:ascii="Calibri" w:hAnsi="Calibri"/>
                <w:sz w:val="22"/>
              </w:rPr>
              <w:t>22,212</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OFFER David Scott</w:t>
            </w:r>
          </w:p>
        </w:tc>
        <w:tc>
          <w:tcPr>
            <w:tcW w:type="dxa" w:w="1440"/>
          </w:tcPr>
          <w:p>
            <w:r>
              <w:rPr>
                <w:rFonts w:ascii="Calibri" w:hAnsi="Calibri"/>
                <w:sz w:val="22"/>
              </w:rPr>
              <w:t>EVP, General Counsel</w:t>
            </w:r>
          </w:p>
        </w:tc>
        <w:tc>
          <w:tcPr>
            <w:tcW w:type="dxa" w:w="1440"/>
          </w:tcPr>
          <w:p>
            <w:r>
              <w:rPr>
                <w:rFonts w:ascii="Calibri" w:hAnsi="Calibri"/>
                <w:sz w:val="22"/>
              </w:rPr>
              <w:t>Open Market Sale</w:t>
            </w:r>
          </w:p>
        </w:tc>
        <w:tc>
          <w:tcPr>
            <w:tcW w:type="dxa" w:w="1440"/>
          </w:tcPr>
          <w:p>
            <w:r>
              <w:rPr>
                <w:rFonts w:ascii="Calibri" w:hAnsi="Calibri"/>
                <w:sz w:val="22"/>
              </w:rPr>
              <w:t>33,000</w:t>
            </w:r>
          </w:p>
        </w:tc>
        <w:tc>
          <w:tcPr>
            <w:tcW w:type="dxa" w:w="1440"/>
          </w:tcPr>
          <w:p>
            <w:r>
              <w:rPr>
                <w:rFonts w:ascii="Calibri" w:hAnsi="Calibri"/>
                <w:sz w:val="22"/>
              </w:rPr>
              <w:t>Jun 5, 2026</w:t>
            </w:r>
          </w:p>
        </w:tc>
        <w:tc>
          <w:tcPr>
            <w:tcW w:type="dxa" w:w="1440"/>
          </w:tcPr>
          <w:p>
            <w:r>
              <w:rPr>
                <w:rFonts w:ascii="Calibri" w:hAnsi="Calibri"/>
                <w:sz w:val="22"/>
              </w:rPr>
              <w:t>10b5-1 Planned Sale (by Trust)</w:t>
            </w:r>
          </w:p>
        </w:tc>
      </w:tr>
      <w:tr>
        <w:tc>
          <w:tcPr>
            <w:tcW w:type="dxa" w:w="1440"/>
          </w:tcPr>
          <w:p>
            <w:r>
              <w:rPr>
                <w:rFonts w:ascii="Calibri" w:hAnsi="Calibri"/>
                <w:sz w:val="22"/>
              </w:rPr>
              <w:t>OFFER David Scott</w:t>
            </w:r>
          </w:p>
        </w:tc>
        <w:tc>
          <w:tcPr>
            <w:tcW w:type="dxa" w:w="1440"/>
          </w:tcPr>
          <w:p>
            <w:r>
              <w:rPr>
                <w:rFonts w:ascii="Calibri" w:hAnsi="Calibri"/>
                <w:sz w:val="22"/>
              </w:rPr>
              <w:t>EVP, General Counsel</w:t>
            </w:r>
          </w:p>
        </w:tc>
        <w:tc>
          <w:tcPr>
            <w:tcW w:type="dxa" w:w="1440"/>
          </w:tcPr>
          <w:p>
            <w:r>
              <w:rPr>
                <w:rFonts w:ascii="Calibri" w:hAnsi="Calibri"/>
                <w:sz w:val="22"/>
              </w:rPr>
              <w:t>Open Market Sale</w:t>
            </w:r>
          </w:p>
        </w:tc>
        <w:tc>
          <w:tcPr>
            <w:tcW w:type="dxa" w:w="1440"/>
          </w:tcPr>
          <w:p>
            <w:r>
              <w:rPr>
                <w:rFonts w:ascii="Calibri" w:hAnsi="Calibri"/>
                <w:sz w:val="22"/>
              </w:rPr>
              <w:t>7,223</w:t>
            </w:r>
          </w:p>
        </w:tc>
        <w:tc>
          <w:tcPr>
            <w:tcW w:type="dxa" w:w="1440"/>
          </w:tcPr>
          <w:p>
            <w:r>
              <w:rPr>
                <w:rFonts w:ascii="Calibri" w:hAnsi="Calibri"/>
                <w:sz w:val="22"/>
              </w:rPr>
              <w:t>Jun 15, 2026</w:t>
            </w:r>
          </w:p>
        </w:tc>
        <w:tc>
          <w:tcPr>
            <w:tcW w:type="dxa" w:w="1440"/>
          </w:tcPr>
          <w:p>
            <w:r>
              <w:rPr>
                <w:rFonts w:ascii="Calibri" w:hAnsi="Calibri"/>
                <w:sz w:val="22"/>
              </w:rPr>
              <w:t>10b5-1 Planned Sale</w:t>
            </w:r>
          </w:p>
        </w:tc>
      </w:tr>
      <w:tr>
        <w:tc>
          <w:tcPr>
            <w:tcW w:type="dxa" w:w="1440"/>
          </w:tcPr>
          <w:p>
            <w:r>
              <w:rPr>
                <w:rFonts w:ascii="Calibri" w:hAnsi="Calibri"/>
                <w:sz w:val="22"/>
              </w:rPr>
              <w:t>OFFER David Scott</w:t>
            </w:r>
          </w:p>
        </w:tc>
        <w:tc>
          <w:tcPr>
            <w:tcW w:type="dxa" w:w="1440"/>
          </w:tcPr>
          <w:p>
            <w:r>
              <w:rPr>
                <w:rFonts w:ascii="Calibri" w:hAnsi="Calibri"/>
                <w:sz w:val="22"/>
              </w:rPr>
              <w:t>EVP, General Counsel</w:t>
            </w:r>
          </w:p>
        </w:tc>
        <w:tc>
          <w:tcPr>
            <w:tcW w:type="dxa" w:w="1440"/>
          </w:tcPr>
          <w:p>
            <w:r>
              <w:rPr>
                <w:rFonts w:ascii="Calibri" w:hAnsi="Calibri"/>
                <w:sz w:val="22"/>
              </w:rPr>
              <w:t>Open Market Sale</w:t>
            </w:r>
          </w:p>
        </w:tc>
        <w:tc>
          <w:tcPr>
            <w:tcW w:type="dxa" w:w="1440"/>
          </w:tcPr>
          <w:p>
            <w:r>
              <w:rPr>
                <w:rFonts w:ascii="Calibri" w:hAnsi="Calibri"/>
                <w:sz w:val="22"/>
              </w:rPr>
              <w:t>18,750</w:t>
            </w:r>
          </w:p>
        </w:tc>
        <w:tc>
          <w:tcPr>
            <w:tcW w:type="dxa" w:w="1440"/>
          </w:tcPr>
          <w:p>
            <w:r>
              <w:rPr>
                <w:rFonts w:ascii="Calibri" w:hAnsi="Calibri"/>
                <w:sz w:val="22"/>
              </w:rPr>
              <w:t>Jun 16, 2026</w:t>
            </w:r>
          </w:p>
        </w:tc>
        <w:tc>
          <w:tcPr>
            <w:tcW w:type="dxa" w:w="1440"/>
          </w:tcPr>
          <w:p>
            <w:r>
              <w:rPr>
                <w:rFonts w:ascii="Calibri" w:hAnsi="Calibri"/>
                <w:sz w:val="22"/>
              </w:rPr>
              <w:t>10b5-1 Planned Sale (by Trust)</w:t>
            </w:r>
          </w:p>
        </w:tc>
      </w:tr>
      <w:tr>
        <w:tc>
          <w:tcPr>
            <w:tcW w:type="dxa" w:w="1440"/>
          </w:tcPr>
          <w:p>
            <w:r>
              <w:rPr>
                <w:rFonts w:ascii="Calibri" w:hAnsi="Calibri"/>
                <w:sz w:val="22"/>
              </w:rPr>
              <w:t>OFFER David Scott</w:t>
            </w:r>
          </w:p>
        </w:tc>
        <w:tc>
          <w:tcPr>
            <w:tcW w:type="dxa" w:w="1440"/>
          </w:tcPr>
          <w:p>
            <w:r>
              <w:rPr>
                <w:rFonts w:ascii="Calibri" w:hAnsi="Calibri"/>
                <w:sz w:val="22"/>
              </w:rPr>
              <w:t>EVP, General Counsel</w:t>
            </w:r>
          </w:p>
        </w:tc>
        <w:tc>
          <w:tcPr>
            <w:tcW w:type="dxa" w:w="1440"/>
          </w:tcPr>
          <w:p>
            <w:r>
              <w:rPr>
                <w:rFonts w:ascii="Calibri" w:hAnsi="Calibri"/>
                <w:sz w:val="22"/>
              </w:rPr>
              <w:t>Open Market Sale</w:t>
            </w:r>
          </w:p>
        </w:tc>
        <w:tc>
          <w:tcPr>
            <w:tcW w:type="dxa" w:w="1440"/>
          </w:tcPr>
          <w:p>
            <w:r>
              <w:rPr>
                <w:rFonts w:ascii="Calibri" w:hAnsi="Calibri"/>
                <w:sz w:val="22"/>
              </w:rPr>
              <w:t>20,812</w:t>
            </w:r>
          </w:p>
        </w:tc>
        <w:tc>
          <w:tcPr>
            <w:tcW w:type="dxa" w:w="1440"/>
          </w:tcPr>
          <w:p>
            <w:r>
              <w:rPr>
                <w:rFonts w:ascii="Calibri" w:hAnsi="Calibri"/>
                <w:sz w:val="22"/>
              </w:rPr>
              <w:t>Jun 17, 2026</w:t>
            </w:r>
          </w:p>
        </w:tc>
        <w:tc>
          <w:tcPr>
            <w:tcW w:type="dxa" w:w="1440"/>
          </w:tcPr>
          <w:p>
            <w:r>
              <w:rPr>
                <w:rFonts w:ascii="Calibri" w:hAnsi="Calibri"/>
                <w:sz w:val="22"/>
              </w:rPr>
              <w:t>10b5-1 Planned Sale</w:t>
            </w:r>
          </w:p>
        </w:tc>
      </w:tr>
      <w:tr>
        <w:tc>
          <w:tcPr>
            <w:tcW w:type="dxa" w:w="1440"/>
          </w:tcPr>
          <w:p>
            <w:r>
              <w:rPr>
                <w:rFonts w:ascii="Calibri" w:hAnsi="Calibri"/>
                <w:sz w:val="22"/>
              </w:rPr>
              <w:t>OFFER David Scott</w:t>
            </w:r>
          </w:p>
        </w:tc>
        <w:tc>
          <w:tcPr>
            <w:tcW w:type="dxa" w:w="1440"/>
          </w:tcPr>
          <w:p>
            <w:r>
              <w:rPr>
                <w:rFonts w:ascii="Calibri" w:hAnsi="Calibri"/>
                <w:sz w:val="22"/>
              </w:rPr>
              <w:t>EVP, General Counsel</w:t>
            </w:r>
          </w:p>
        </w:tc>
        <w:tc>
          <w:tcPr>
            <w:tcW w:type="dxa" w:w="1440"/>
          </w:tcPr>
          <w:p>
            <w:r>
              <w:rPr>
                <w:rFonts w:ascii="Calibri" w:hAnsi="Calibri"/>
                <w:sz w:val="22"/>
              </w:rPr>
              <w:t>Open Market Sale</w:t>
            </w:r>
          </w:p>
        </w:tc>
        <w:tc>
          <w:tcPr>
            <w:tcW w:type="dxa" w:w="1440"/>
          </w:tcPr>
          <w:p>
            <w:r>
              <w:rPr>
                <w:rFonts w:ascii="Calibri" w:hAnsi="Calibri"/>
                <w:sz w:val="22"/>
              </w:rPr>
              <w:t>6,657</w:t>
            </w:r>
          </w:p>
        </w:tc>
        <w:tc>
          <w:tcPr>
            <w:tcW w:type="dxa" w:w="1440"/>
          </w:tcPr>
          <w:p>
            <w:r>
              <w:rPr>
                <w:rFonts w:ascii="Calibri" w:hAnsi="Calibri"/>
                <w:sz w:val="22"/>
              </w:rPr>
              <w:t>Jun 18, 2026</w:t>
            </w:r>
          </w:p>
        </w:tc>
        <w:tc>
          <w:tcPr>
            <w:tcW w:type="dxa" w:w="1440"/>
          </w:tcPr>
          <w:p>
            <w:r>
              <w:rPr>
                <w:rFonts w:ascii="Calibri" w:hAnsi="Calibri"/>
                <w:sz w:val="22"/>
              </w:rPr>
              <w:t>10b5-1 Planned Sale</w:t>
            </w:r>
          </w:p>
        </w:tc>
      </w:tr>
      <w:tr>
        <w:tc>
          <w:tcPr>
            <w:tcW w:type="dxa" w:w="1440"/>
          </w:tcPr>
          <w:p>
            <w:r>
              <w:rPr>
                <w:rFonts w:ascii="Calibri" w:hAnsi="Calibri"/>
                <w:sz w:val="22"/>
              </w:rPr>
              <w:t>WENDLER Daniel</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3,819</w:t>
            </w:r>
          </w:p>
        </w:tc>
        <w:tc>
          <w:tcPr>
            <w:tcW w:type="dxa" w:w="1440"/>
          </w:tcPr>
          <w:p>
            <w:r>
              <w:rPr>
                <w:rFonts w:ascii="Calibri" w:hAnsi="Calibri"/>
                <w:sz w:val="22"/>
              </w:rPr>
              <w:t>May 11, 2026</w:t>
            </w:r>
          </w:p>
        </w:tc>
        <w:tc>
          <w:tcPr>
            <w:tcW w:type="dxa" w:w="1440"/>
          </w:tcPr>
          <w:p>
            <w:r>
              <w:rPr>
                <w:rFonts w:ascii="Calibri" w:hAnsi="Calibri"/>
                <w:sz w:val="22"/>
              </w:rPr>
              <w:t>10b5-1 Planned Sale</w:t>
            </w:r>
          </w:p>
        </w:tc>
      </w:tr>
      <w:tr>
        <w:tc>
          <w:tcPr>
            <w:tcW w:type="dxa" w:w="1440"/>
          </w:tcPr>
          <w:p>
            <w:r>
              <w:rPr>
                <w:rFonts w:ascii="Calibri" w:hAnsi="Calibri"/>
                <w:sz w:val="22"/>
              </w:rPr>
              <w:t>WENDLER Daniel</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1,579</w:t>
            </w:r>
          </w:p>
        </w:tc>
        <w:tc>
          <w:tcPr>
            <w:tcW w:type="dxa" w:w="1440"/>
          </w:tcPr>
          <w:p>
            <w:r>
              <w:rPr>
                <w:rFonts w:ascii="Calibri" w:hAnsi="Calibri"/>
                <w:sz w:val="22"/>
              </w:rPr>
              <w:t>Jun 15, 2026</w:t>
            </w:r>
          </w:p>
        </w:tc>
        <w:tc>
          <w:tcPr>
            <w:tcW w:type="dxa" w:w="1440"/>
          </w:tcPr>
          <w:p>
            <w:r>
              <w:rPr>
                <w:rFonts w:ascii="Calibri" w:hAnsi="Calibri"/>
                <w:sz w:val="22"/>
              </w:rPr>
              <w:t>10b5-1 Planned Sale</w:t>
            </w:r>
          </w:p>
        </w:tc>
      </w:tr>
      <w:tr>
        <w:tc>
          <w:tcPr>
            <w:tcW w:type="dxa" w:w="1440"/>
          </w:tcPr>
          <w:p>
            <w:r>
              <w:rPr>
                <w:rFonts w:ascii="Calibri" w:hAnsi="Calibri"/>
                <w:sz w:val="22"/>
              </w:rPr>
              <w:t>WENDLER Daniel</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3,890</w:t>
            </w:r>
          </w:p>
        </w:tc>
        <w:tc>
          <w:tcPr>
            <w:tcW w:type="dxa" w:w="1440"/>
          </w:tcPr>
          <w:p>
            <w:r>
              <w:rPr>
                <w:rFonts w:ascii="Calibri" w:hAnsi="Calibri"/>
                <w:sz w:val="22"/>
              </w:rPr>
              <w:t>Jun 17, 2026</w:t>
            </w:r>
          </w:p>
        </w:tc>
        <w:tc>
          <w:tcPr>
            <w:tcW w:type="dxa" w:w="1440"/>
          </w:tcPr>
          <w:p>
            <w:r>
              <w:rPr>
                <w:rFonts w:ascii="Calibri" w:hAnsi="Calibri"/>
                <w:sz w:val="22"/>
              </w:rPr>
              <w:t>10b5-1 Planned Sale</w:t>
            </w:r>
          </w:p>
        </w:tc>
      </w:tr>
      <w:tr>
        <w:tc>
          <w:tcPr>
            <w:tcW w:type="dxa" w:w="1440"/>
          </w:tcPr>
          <w:p>
            <w:r>
              <w:rPr>
                <w:rFonts w:ascii="Calibri" w:hAnsi="Calibri"/>
                <w:sz w:val="22"/>
              </w:rPr>
              <w:t>WENDLER Daniel</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1,311</w:t>
            </w:r>
          </w:p>
        </w:tc>
        <w:tc>
          <w:tcPr>
            <w:tcW w:type="dxa" w:w="1440"/>
          </w:tcPr>
          <w:p>
            <w:r>
              <w:rPr>
                <w:rFonts w:ascii="Calibri" w:hAnsi="Calibri"/>
                <w:sz w:val="22"/>
              </w:rPr>
              <w:t>Jun 18, 2026</w:t>
            </w:r>
          </w:p>
        </w:tc>
        <w:tc>
          <w:tcPr>
            <w:tcW w:type="dxa" w:w="1440"/>
          </w:tcPr>
          <w:p>
            <w:r>
              <w:rPr>
                <w:rFonts w:ascii="Calibri" w:hAnsi="Calibri"/>
                <w:sz w:val="22"/>
              </w:rPr>
              <w:t>10b5-1 Planned Sale</w:t>
            </w:r>
          </w:p>
        </w:tc>
      </w:tr>
      <w:tr>
        <w:tc>
          <w:tcPr>
            <w:tcW w:type="dxa" w:w="1440"/>
          </w:tcPr>
          <w:p>
            <w:r>
              <w:rPr>
                <w:rFonts w:ascii="Calibri" w:hAnsi="Calibri"/>
                <w:sz w:val="22"/>
              </w:rPr>
              <w:t>McSweeney Erin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3,000</w:t>
            </w:r>
          </w:p>
        </w:tc>
        <w:tc>
          <w:tcPr>
            <w:tcW w:type="dxa" w:w="1440"/>
          </w:tcPr>
          <w:p>
            <w:r>
              <w:rPr>
                <w:rFonts w:ascii="Calibri" w:hAnsi="Calibri"/>
                <w:sz w:val="22"/>
              </w:rPr>
              <w:t>May 14, 2026</w:t>
            </w:r>
          </w:p>
        </w:tc>
        <w:tc>
          <w:tcPr>
            <w:tcW w:type="dxa" w:w="1440"/>
          </w:tcPr>
          <w:p>
            <w:r>
              <w:rPr>
                <w:rFonts w:ascii="Calibri" w:hAnsi="Calibri"/>
                <w:sz w:val="22"/>
              </w:rPr>
              <w:t>Discretionary (no 10b5-1)</w:t>
            </w:r>
          </w:p>
        </w:tc>
      </w:tr>
      <w:tr>
        <w:tc>
          <w:tcPr>
            <w:tcW w:type="dxa" w:w="1440"/>
          </w:tcPr>
          <w:p>
            <w:r>
              <w:rPr>
                <w:rFonts w:ascii="Calibri" w:hAnsi="Calibri"/>
                <w:sz w:val="22"/>
              </w:rPr>
              <w:t>McSweeney Erin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2,500</w:t>
            </w:r>
          </w:p>
        </w:tc>
        <w:tc>
          <w:tcPr>
            <w:tcW w:type="dxa" w:w="1440"/>
          </w:tcPr>
          <w:p>
            <w:r>
              <w:rPr>
                <w:rFonts w:ascii="Calibri" w:hAnsi="Calibri"/>
                <w:sz w:val="22"/>
              </w:rPr>
              <w:t>May 12, 2026</w:t>
            </w:r>
          </w:p>
        </w:tc>
        <w:tc>
          <w:tcPr>
            <w:tcW w:type="dxa" w:w="1440"/>
          </w:tcPr>
          <w:p>
            <w:r>
              <w:rPr>
                <w:rFonts w:ascii="Calibri" w:hAnsi="Calibri"/>
                <w:sz w:val="22"/>
              </w:rPr>
              <w:t>Discretionary (no 10b5-1)</w:t>
            </w:r>
          </w:p>
        </w:tc>
      </w:tr>
      <w:tr>
        <w:tc>
          <w:tcPr>
            <w:tcW w:type="dxa" w:w="1440"/>
          </w:tcPr>
          <w:p>
            <w:r>
              <w:rPr>
                <w:rFonts w:ascii="Calibri" w:hAnsi="Calibri"/>
                <w:sz w:val="22"/>
              </w:rPr>
              <w:t>McSweeney Erin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2,000</w:t>
            </w:r>
          </w:p>
        </w:tc>
        <w:tc>
          <w:tcPr>
            <w:tcW w:type="dxa" w:w="1440"/>
          </w:tcPr>
          <w:p>
            <w:r>
              <w:rPr>
                <w:rFonts w:ascii="Calibri" w:hAnsi="Calibri"/>
                <w:sz w:val="22"/>
              </w:rPr>
              <w:t>May 22, 2026</w:t>
            </w:r>
          </w:p>
        </w:tc>
        <w:tc>
          <w:tcPr>
            <w:tcW w:type="dxa" w:w="1440"/>
          </w:tcPr>
          <w:p>
            <w:r>
              <w:rPr>
                <w:rFonts w:ascii="Calibri" w:hAnsi="Calibri"/>
                <w:sz w:val="22"/>
              </w:rPr>
              <w:t>Discretionary (no 10b5-1)</w:t>
            </w:r>
          </w:p>
        </w:tc>
      </w:tr>
      <w:tr>
        <w:tc>
          <w:tcPr>
            <w:tcW w:type="dxa" w:w="1440"/>
          </w:tcPr>
          <w:p>
            <w:r>
              <w:rPr>
                <w:rFonts w:ascii="Calibri" w:hAnsi="Calibri"/>
                <w:sz w:val="22"/>
              </w:rPr>
              <w:t>Stevens Charles K. III</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15,000</w:t>
            </w:r>
          </w:p>
        </w:tc>
        <w:tc>
          <w:tcPr>
            <w:tcW w:type="dxa" w:w="1440"/>
          </w:tcPr>
          <w:p>
            <w:r>
              <w:rPr>
                <w:rFonts w:ascii="Calibri" w:hAnsi="Calibri"/>
                <w:sz w:val="22"/>
              </w:rPr>
              <w:t>May 8, 2026</w:t>
            </w:r>
          </w:p>
        </w:tc>
        <w:tc>
          <w:tcPr>
            <w:tcW w:type="dxa" w:w="1440"/>
          </w:tcPr>
          <w:p>
            <w:r>
              <w:rPr>
                <w:rFonts w:ascii="Calibri" w:hAnsi="Calibri"/>
                <w:sz w:val="22"/>
              </w:rPr>
              <w:t>Discretionary (no 10b5-1)</w:t>
            </w:r>
          </w:p>
        </w:tc>
      </w:tr>
    </w:tbl>
    <w:p>
      <w:r>
        <w:rPr>
          <w:rFonts w:ascii="Calibri" w:hAnsi="Calibri"/>
          <w:b/>
          <w:color w:val="525866"/>
          <w:sz w:val="22"/>
        </w:rPr>
        <w:t xml:space="preserve">Assessment: </w:t>
      </w:r>
      <w:r>
        <w:rPr>
          <w:rFonts w:ascii="Calibri" w:hAnsi="Calibri"/>
          <w:color w:val="525866"/>
          <w:sz w:val="22"/>
        </w:rPr>
        <w:t xml:space="preserve">The insider selling pattern is consistent with post-earnings liquidity events following a large stock price surge (+40% overnight). The overwhelming majority of sales are under pre-established 10b5-1 plans, which were set up before the earnings date and therefore carry no negative informational signal about the company's forward outlook. The notable exceptions are Director McSweeney (5,500 shares discretionary), Director Stevens (15,000 shares discretionary), and a small portion of Hartung and Tan's sales (no 10b5-1 flag on specific tranches) — these are small in absolute terms and likely reflect opportunistic profit-taking after the stock surge rather than a negative fundamental view. </w:t>
      </w:r>
      <w:r>
        <w:rPr>
          <w:rFonts w:ascii="Calibri" w:hAnsi="Calibri"/>
          <w:b/>
          <w:color w:val="525866"/>
          <w:sz w:val="22"/>
        </w:rPr>
        <w:t>No open-market buys have been filed since the earnings date.</w:t>
      </w:r>
    </w:p>
    <w:p>
      <w:r>
        <w:rPr>
          <w:rFonts w:ascii="Calibri" w:hAnsi="Calibri"/>
          <w:i/>
          <w:color w:val="525866"/>
          <w:sz w:val="22"/>
        </w:rPr>
        <w:t>Source: SEC Form 4 Filings Database (Insider Transaction Data). All transactions are open-market sales (Form 4, transaction code S). Filing dates range from May 8, 2026 to June 22,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