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lex-earnings-predictions--2026-07-29"/>
    <w:p>
      <w:pPr>
        <w:pStyle w:val="Heading1"/>
      </w:pPr>
      <w:r>
        <w:t xml:space="preserve">FLEX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~$7.60B vs. cons $7.52B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~$0.93 vs. cons $0.907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CPI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~$2.10B vs. cons $2.046B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(FY2027 Q2)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~$7.95B midpoint vs. cons $7.862B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(FY2027 Q2)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~$1.02 midpoint vs. cons $1.012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 (FY2027)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32.3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33.8B vs. cons $33.217B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(FY2027)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4.21</m:t>
              </m:r>
              <m:r>
                <m:rPr>
                  <m:sty m:val="p"/>
                </m:rPr>
                <m:t>−</m:t>
              </m:r>
            </m:oMath>
            <w:r>
              <w:t xml:space="preserve">4.51 vs. cons $4.466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FLEX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FY EPS shortfall drives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2026-07-31T21:34:27Z</dcterms:created>
  <dcterms:modified xsi:type="dcterms:W3CDTF">2026-07-31T21:34:27Z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