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Flex Ltd. (FLEX) — FY2027 Q1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Flex Ltd.</w:t>
            </w:r>
          </w:p>
        </w:tc>
        <w:tc>
          <w:tcPr>
            <w:tcW w:type="dxa" w:w="2160"/>
          </w:tcPr>
          <w:p>
            <w:r>
              <w:rPr>
                <w:rFonts w:ascii="Calibri" w:hAnsi="Calibri"/>
                <w:b/>
                <w:sz w:val="22"/>
              </w:rPr>
              <w:t>Ticker</w:t>
            </w:r>
          </w:p>
        </w:tc>
        <w:tc>
          <w:tcPr>
            <w:tcW w:type="dxa" w:w="2160"/>
          </w:tcPr>
          <w:p>
            <w:r>
              <w:rPr>
                <w:rFonts w:ascii="Calibri" w:hAnsi="Calibri"/>
                <w:sz w:val="22"/>
              </w:rPr>
              <w:t>FLEX (NASDAQ)</w:t>
            </w:r>
          </w:p>
        </w:tc>
      </w:tr>
      <w:tr>
        <w:tc>
          <w:tcPr>
            <w:tcW w:type="dxa" w:w="2160"/>
          </w:tcPr>
          <w:p>
            <w:r>
              <w:rPr>
                <w:rFonts w:ascii="Calibri" w:hAnsi="Calibri"/>
                <w:b/>
                <w:sz w:val="22"/>
              </w:rPr>
              <w:t>Earnings Date</w:t>
            </w:r>
          </w:p>
        </w:tc>
        <w:tc>
          <w:tcPr>
            <w:tcW w:type="dxa" w:w="2160"/>
          </w:tcPr>
          <w:p>
            <w:r>
              <w:rPr>
                <w:rFonts w:ascii="Calibri" w:hAnsi="Calibri"/>
                <w:sz w:val="22"/>
              </w:rPr>
              <w:t>July 29, 2026 (BMO)</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Reporting Period</w:t>
            </w:r>
          </w:p>
        </w:tc>
        <w:tc>
          <w:tcPr>
            <w:tcW w:type="dxa" w:w="2160"/>
          </w:tcPr>
          <w:p>
            <w:r>
              <w:rPr>
                <w:rFonts w:ascii="Calibri" w:hAnsi="Calibri"/>
                <w:sz w:val="22"/>
              </w:rPr>
              <w:t>FY2027 Q1 (qtr ending June 30, 2026)</w:t>
            </w:r>
          </w:p>
        </w:tc>
        <w:tc>
          <w:tcPr>
            <w:tcW w:type="dxa" w:w="2160"/>
          </w:tcPr>
          <w:p>
            <w:r>
              <w:rPr>
                <w:rFonts w:ascii="Calibri" w:hAnsi="Calibri"/>
                <w:b/>
                <w:sz w:val="22"/>
              </w:rPr>
              <w:t>Sector ETF</w:t>
            </w:r>
          </w:p>
        </w:tc>
        <w:tc>
          <w:tcPr>
            <w:tcW w:type="dxa" w:w="2160"/>
          </w:tcPr>
          <w:p>
            <w:r>
              <w:rPr>
                <w:rFonts w:ascii="Calibri" w:hAnsi="Calibri"/>
                <w:sz w:val="22"/>
              </w:rPr>
              <w:t>XLI (Industrials)</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is constructive but the bar is rising — consensus sits at the high end of guidance, the stock has given back ~25% from its post-spin peak, and the single biggest swing factor is whether CPI revenue growth (guided +20–30% YoY) is tracking toward the upper end of the range, which would validate the aggressive FY27 full-year CPI target of +65–75%.</w:t>
      </w:r>
    </w:p>
    <w:p>
      <w:r>
        <w:rPr>
          <w:rFonts w:ascii="Calibri" w:hAnsi="Calibri"/>
          <w:color w:val="525866"/>
          <w:sz w:val="22"/>
        </w:rPr>
        <w:t>Heading into FLEX's first print as a three-segment company (RMS, ITS, CPI), the setup is a moderate beat-or-meet scenario with limited room for a miss. Management guided Q1 FY27 revenue to $7.35–7.65B (+14% at midpoint) and adjusted EPS to $0.86–0.92 (+24% at midpoint), both well above the prior-year period, and consensus has converged tightly around the guidance midpoint. The bar is not low: the stock surged ~56% on the May 5 spin-off announcement and has since retraced ~25% from its June peak, suggesting the market has partially de-risked the story but still prices in strong execution. Estimate revisions have been stable-to-slightly-positive since the Q4 print, with the FY27 EPS consensus at ~$4.47 vs. the $4.21–4.51 guidance range — implying the street is near the midpoint. The key wildcard is CPI ramp cadence: management explicitly flagged that CPI growth is back-half weighted in FY27, so a Q1 CPI revenue print at or above the high end of the +20–30% range would be a meaningful positive signal for the full-year $11B+ CPI target, while a miss on CPI could reignite concerns about hyperscaler program timing and CapEx payback.</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b/>
          <w:color w:val="525866"/>
          <w:sz w:val="22"/>
        </w:rPr>
        <w:t xml:space="preserve">Consensus is essentially at the guidance midpoint across all key metrics — not a low bar. </w:t>
      </w:r>
      <w:r>
        <w:rPr>
          <w:rFonts w:ascii="Calibri" w:hAnsi="Calibri"/>
          <w:color w:val="525866"/>
          <w:sz w:val="22"/>
        </w:rPr>
        <w:t>CPI revenue is the bigger swing factor; RMS and ITS are expected to grow high-single to low-double digits, while CPI at +20–30% YoY is the growth engine and the most watched line.</w:t>
      </w:r>
    </w:p>
    <w:p>
      <w:pPr>
        <w:pStyle w:val="Heading3"/>
      </w:pPr>
      <w:r>
        <w:rPr>
          <w:rFonts w:ascii="Calibri" w:hAnsi="Calibri"/>
          <w:b/>
          <w:color w:val="3B4259"/>
          <w:sz w:val="24"/>
        </w:rPr>
        <w:t>Table 1 — Current Quarter Snapshot (FY2027 Q1, Qtr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(FY26 Q4)</w:t>
            </w:r>
          </w:p>
        </w:tc>
        <w:tc>
          <w:tcPr>
            <w:tcW w:type="dxa" w:w="1234"/>
            <w:shd w:val="clear" w:color="auto" w:fill="3B4259"/>
          </w:tcPr>
          <w:p>
            <w:r>
              <w:rPr>
                <w:rFonts w:ascii="Calibri" w:hAnsi="Calibri"/>
                <w:b/>
                <w:color w:val="FFFFFF"/>
                <w:sz w:val="22"/>
              </w:rPr>
              <w:t>Prior Year Period (FY26 Q1)</w:t>
            </w:r>
          </w:p>
        </w:tc>
        <w:tc>
          <w:tcPr>
            <w:tcW w:type="dxa" w:w="1234"/>
            <w:shd w:val="clear" w:color="auto" w:fill="3B4259"/>
          </w:tcPr>
          <w:p>
            <w:r>
              <w:rPr>
                <w:rFonts w:ascii="Calibri" w:hAnsi="Calibri"/>
                <w:b/>
                <w:color w:val="FFFFFF"/>
                <w:sz w:val="22"/>
              </w:rPr>
              <w:t>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$7.477B</w:t>
            </w:r>
          </w:p>
        </w:tc>
        <w:tc>
          <w:tcPr>
            <w:tcW w:type="dxa" w:w="1234"/>
          </w:tcPr>
          <w:p>
            <w:r>
              <w:rPr>
                <w:rFonts w:ascii="Calibri" w:hAnsi="Calibri"/>
                <w:sz w:val="22"/>
              </w:rPr>
              <w:t>$6.575B</w:t>
            </w:r>
          </w:p>
        </w:tc>
        <w:tc>
          <w:tcPr>
            <w:tcW w:type="dxa" w:w="1234"/>
          </w:tcPr>
          <w:p>
            <w:r>
              <w:rPr>
                <w:rFonts w:ascii="Calibri" w:hAnsi="Calibri"/>
                <w:sz w:val="22"/>
              </w:rPr>
              <w:t>$7.520B</w:t>
            </w:r>
          </w:p>
        </w:tc>
        <w:tc>
          <w:tcPr>
            <w:tcW w:type="dxa" w:w="1234"/>
          </w:tcPr>
          <w:p>
            <w:r>
              <w:rPr>
                <w:rFonts w:ascii="Calibri" w:hAnsi="Calibri"/>
                <w:sz w:val="22"/>
              </w:rPr>
              <w:t>+14.4%</w:t>
            </w:r>
          </w:p>
        </w:tc>
        <w:tc>
          <w:tcPr>
            <w:tcW w:type="dxa" w:w="1234"/>
          </w:tcPr>
          <w:p>
            <w:r>
              <w:rPr>
                <w:rFonts w:ascii="Calibri" w:hAnsi="Calibri"/>
                <w:sz w:val="22"/>
              </w:rPr>
              <w:t>$7.500B</w:t>
            </w:r>
          </w:p>
        </w:tc>
        <w:tc>
          <w:tcPr>
            <w:tcW w:type="dxa" w:w="1234"/>
          </w:tcPr>
          <w:p>
            <w:r>
              <w:rPr>
                <w:rFonts w:ascii="Calibri" w:hAnsi="Calibri"/>
                <w:sz w:val="22"/>
              </w:rPr>
              <w:t>+0.3%</w:t>
            </w:r>
          </w:p>
        </w:tc>
      </w:tr>
      <w:tr>
        <w:tc>
          <w:tcPr>
            <w:tcW w:type="dxa" w:w="1234"/>
          </w:tcPr>
          <w:p>
            <w:r>
              <w:rPr>
                <w:rFonts w:ascii="Calibri" w:hAnsi="Calibri"/>
                <w:sz w:val="22"/>
              </w:rPr>
              <w:t>Adj. EPS (Diluted-Operating)</w:t>
            </w:r>
          </w:p>
        </w:tc>
        <w:tc>
          <w:tcPr>
            <w:tcW w:type="dxa" w:w="1234"/>
          </w:tcPr>
          <w:p>
            <w:r>
              <w:rPr>
                <w:rFonts w:ascii="Calibri" w:hAnsi="Calibri"/>
                <w:sz w:val="22"/>
              </w:rPr>
              <w:t>$0.93</w:t>
            </w:r>
          </w:p>
        </w:tc>
        <w:tc>
          <w:tcPr>
            <w:tcW w:type="dxa" w:w="1234"/>
          </w:tcPr>
          <w:p>
            <w:r>
              <w:rPr>
                <w:rFonts w:ascii="Calibri" w:hAnsi="Calibri"/>
                <w:sz w:val="22"/>
              </w:rPr>
              <w:t>$0.72</w:t>
            </w:r>
          </w:p>
        </w:tc>
        <w:tc>
          <w:tcPr>
            <w:tcW w:type="dxa" w:w="1234"/>
          </w:tcPr>
          <w:p>
            <w:r>
              <w:rPr>
                <w:rFonts w:ascii="Calibri" w:hAnsi="Calibri"/>
                <w:sz w:val="22"/>
              </w:rPr>
              <w:t>$0.907</w:t>
            </w:r>
          </w:p>
        </w:tc>
        <w:tc>
          <w:tcPr>
            <w:tcW w:type="dxa" w:w="1234"/>
          </w:tcPr>
          <w:p>
            <w:r>
              <w:rPr>
                <w:rFonts w:ascii="Calibri" w:hAnsi="Calibri"/>
                <w:sz w:val="22"/>
              </w:rPr>
              <w:t>+26.0%</w:t>
            </w:r>
          </w:p>
        </w:tc>
        <w:tc>
          <w:tcPr>
            <w:tcW w:type="dxa" w:w="1234"/>
          </w:tcPr>
          <w:p>
            <w:r>
              <w:rPr>
                <w:rFonts w:ascii="Calibri" w:hAnsi="Calibri"/>
                <w:sz w:val="22"/>
              </w:rPr>
              <w:t>$0.89</w:t>
            </w:r>
          </w:p>
        </w:tc>
        <w:tc>
          <w:tcPr>
            <w:tcW w:type="dxa" w:w="1234"/>
          </w:tcPr>
          <w:p>
            <w:r>
              <w:rPr>
                <w:rFonts w:ascii="Calibri" w:hAnsi="Calibri"/>
                <w:sz w:val="22"/>
              </w:rPr>
              <w:t>+1.9%</w:t>
            </w:r>
          </w:p>
        </w:tc>
      </w:tr>
      <w:tr>
        <w:tc>
          <w:tcPr>
            <w:tcW w:type="dxa" w:w="1234"/>
          </w:tcPr>
          <w:p>
            <w:r>
              <w:rPr>
                <w:rFonts w:ascii="Calibri" w:hAnsi="Calibri"/>
                <w:sz w:val="22"/>
              </w:rPr>
              <w:t>Adj. Operating Income ($M)</w:t>
            </w:r>
          </w:p>
        </w:tc>
        <w:tc>
          <w:tcPr>
            <w:tcW w:type="dxa" w:w="1234"/>
          </w:tcPr>
          <w:p>
            <w:r>
              <w:rPr>
                <w:rFonts w:ascii="Calibri" w:hAnsi="Calibri"/>
                <w:sz w:val="22"/>
              </w:rPr>
              <w:t>$500M</w:t>
            </w:r>
          </w:p>
        </w:tc>
        <w:tc>
          <w:tcPr>
            <w:tcW w:type="dxa" w:w="1234"/>
          </w:tcPr>
          <w:p>
            <w:r>
              <w:rPr>
                <w:rFonts w:ascii="Calibri" w:hAnsi="Calibri"/>
                <w:sz w:val="22"/>
              </w:rPr>
              <w:t>$395M</w:t>
            </w:r>
          </w:p>
        </w:tc>
        <w:tc>
          <w:tcPr>
            <w:tcW w:type="dxa" w:w="1234"/>
          </w:tcPr>
          <w:p>
            <w:r>
              <w:rPr>
                <w:rFonts w:ascii="Calibri" w:hAnsi="Calibri"/>
                <w:sz w:val="22"/>
              </w:rPr>
              <w:t>$493M</w:t>
            </w:r>
          </w:p>
        </w:tc>
        <w:tc>
          <w:tcPr>
            <w:tcW w:type="dxa" w:w="1234"/>
          </w:tcPr>
          <w:p>
            <w:r>
              <w:rPr>
                <w:rFonts w:ascii="Calibri" w:hAnsi="Calibri"/>
                <w:sz w:val="22"/>
              </w:rPr>
              <w:t>+24.8%</w:t>
            </w:r>
          </w:p>
        </w:tc>
        <w:tc>
          <w:tcPr>
            <w:tcW w:type="dxa" w:w="1234"/>
          </w:tcPr>
          <w:p>
            <w:r>
              <w:rPr>
                <w:rFonts w:ascii="Calibri" w:hAnsi="Calibri"/>
                <w:sz w:val="22"/>
              </w:rPr>
              <w:t>$484M</w:t>
            </w:r>
          </w:p>
        </w:tc>
        <w:tc>
          <w:tcPr>
            <w:tcW w:type="dxa" w:w="1234"/>
          </w:tcPr>
          <w:p>
            <w:r>
              <w:rPr>
                <w:rFonts w:ascii="Calibri" w:hAnsi="Calibri"/>
                <w:sz w:val="22"/>
              </w:rPr>
              <w:t>+1.9%</w:t>
            </w:r>
          </w:p>
        </w:tc>
      </w:tr>
      <w:tr>
        <w:tc>
          <w:tcPr>
            <w:tcW w:type="dxa" w:w="1234"/>
          </w:tcPr>
          <w:p>
            <w:r>
              <w:rPr>
                <w:rFonts w:ascii="Calibri" w:hAnsi="Calibri"/>
                <w:sz w:val="22"/>
              </w:rPr>
              <w:t>CPI Revenue ($B)</w:t>
            </w:r>
          </w:p>
        </w:tc>
        <w:tc>
          <w:tcPr>
            <w:tcW w:type="dxa" w:w="1234"/>
          </w:tcPr>
          <w:p>
            <w:r>
              <w:rPr>
                <w:rFonts w:ascii="Calibri" w:hAnsi="Calibri"/>
                <w:sz w:val="22"/>
              </w:rPr>
              <w:t>$1.847B</w:t>
            </w:r>
          </w:p>
        </w:tc>
        <w:tc>
          <w:tcPr>
            <w:tcW w:type="dxa" w:w="1234"/>
          </w:tcPr>
          <w:p>
            <w:r>
              <w:rPr>
                <w:rFonts w:ascii="Calibri" w:hAnsi="Calibri"/>
                <w:sz w:val="22"/>
              </w:rPr>
              <w:t>$1.626B</w:t>
            </w:r>
          </w:p>
        </w:tc>
        <w:tc>
          <w:tcPr>
            <w:tcW w:type="dxa" w:w="1234"/>
          </w:tcPr>
          <w:p>
            <w:r>
              <w:rPr>
                <w:rFonts w:ascii="Calibri" w:hAnsi="Calibri"/>
                <w:sz w:val="22"/>
              </w:rPr>
              <w:t>$2.046B</w:t>
            </w:r>
          </w:p>
        </w:tc>
        <w:tc>
          <w:tcPr>
            <w:tcW w:type="dxa" w:w="1234"/>
          </w:tcPr>
          <w:p>
            <w:r>
              <w:rPr>
                <w:rFonts w:ascii="Calibri" w:hAnsi="Calibri"/>
                <w:sz w:val="22"/>
              </w:rPr>
              <w:t>+25.8%</w:t>
            </w:r>
          </w:p>
        </w:tc>
        <w:tc>
          <w:tcPr>
            <w:tcW w:type="dxa" w:w="1234"/>
          </w:tcPr>
          <w:p>
            <w:r>
              <w:rPr>
                <w:rFonts w:ascii="Calibri" w:hAnsi="Calibri"/>
                <w:sz w:val="22"/>
              </w:rPr>
              <w:t>Up 20–30% YoY</w:t>
            </w:r>
          </w:p>
        </w:tc>
        <w:tc>
          <w:tcPr>
            <w:tcW w:type="dxa" w:w="1234"/>
          </w:tcPr>
          <w:p>
            <w:r>
              <w:rPr>
                <w:rFonts w:ascii="Calibri" w:hAnsi="Calibri"/>
                <w:sz w:val="22"/>
              </w:rPr>
              <w:t>~Midpoint</w:t>
            </w:r>
          </w:p>
        </w:tc>
      </w:tr>
      <w:tr>
        <w:tc>
          <w:tcPr>
            <w:tcW w:type="dxa" w:w="1234"/>
          </w:tcPr>
          <w:p>
            <w:r>
              <w:rPr>
                <w:rFonts w:ascii="Calibri" w:hAnsi="Calibri"/>
                <w:sz w:val="22"/>
              </w:rPr>
              <w:t>Free Cash Flow ($M)</w:t>
            </w:r>
          </w:p>
        </w:tc>
        <w:tc>
          <w:tcPr>
            <w:tcW w:type="dxa" w:w="1234"/>
          </w:tcPr>
          <w:p>
            <w:r>
              <w:rPr>
                <w:rFonts w:ascii="Calibri" w:hAnsi="Calibri"/>
                <w:sz w:val="22"/>
              </w:rPr>
              <w:t>$211M</w:t>
            </w:r>
          </w:p>
        </w:tc>
        <w:tc>
          <w:tcPr>
            <w:tcW w:type="dxa" w:w="1234"/>
          </w:tcPr>
          <w:p>
            <w:r>
              <w:rPr>
                <w:rFonts w:ascii="Calibri" w:hAnsi="Calibri"/>
                <w:sz w:val="22"/>
              </w:rPr>
              <w:t>$266M</w:t>
            </w:r>
          </w:p>
        </w:tc>
        <w:tc>
          <w:tcPr>
            <w:tcW w:type="dxa" w:w="1234"/>
          </w:tcPr>
          <w:p>
            <w:r>
              <w:rPr>
                <w:rFonts w:ascii="Calibri" w:hAnsi="Calibri"/>
                <w:sz w:val="22"/>
              </w:rPr>
              <w:t>-$474M</w:t>
            </w:r>
          </w:p>
        </w:tc>
        <w:tc>
          <w:tcPr>
            <w:tcW w:type="dxa" w:w="1234"/>
          </w:tcPr>
          <w:p>
            <w:r>
              <w:rPr>
                <w:rFonts w:ascii="Calibri" w:hAnsi="Calibri"/>
                <w:sz w:val="22"/>
              </w:rPr>
              <w:t>N/M (CapEx ramp)</w:t>
            </w:r>
          </w:p>
        </w:tc>
        <w:tc>
          <w:tcPr>
            <w:tcW w:type="dxa" w:w="1234"/>
          </w:tcPr>
          <w:p>
            <w:r>
              <w:rPr>
                <w:rFonts w:ascii="Calibri" w:hAnsi="Calibri"/>
                <w:sz w:val="22"/>
              </w:rPr>
              <w:t>~60% conv. FY27</w:t>
            </w:r>
          </w:p>
        </w:tc>
        <w:tc>
          <w:tcPr>
            <w:tcW w:type="dxa" w:w="1234"/>
          </w:tcPr>
          <w:p>
            <w:r>
              <w:rPr>
                <w:rFonts w:ascii="Calibri" w:hAnsi="Calibri"/>
                <w:sz w:val="22"/>
              </w:rPr>
              <w:t>N/A</w:t>
            </w:r>
          </w:p>
        </w:tc>
      </w:tr>
      <w:tr>
        <w:tc>
          <w:tcPr>
            <w:tcW w:type="dxa" w:w="1234"/>
          </w:tcPr>
          <w:p>
            <w:r>
              <w:rPr>
                <w:rFonts w:ascii="Calibri" w:hAnsi="Calibri"/>
                <w:sz w:val="22"/>
              </w:rPr>
              <w:t>CapEx, net ($M)</w:t>
            </w:r>
          </w:p>
        </w:tc>
        <w:tc>
          <w:tcPr>
            <w:tcW w:type="dxa" w:w="1234"/>
          </w:tcPr>
          <w:p>
            <w:r>
              <w:rPr>
                <w:rFonts w:ascii="Calibri" w:hAnsi="Calibri"/>
                <w:sz w:val="22"/>
              </w:rPr>
              <w:t>-$201M</w:t>
            </w:r>
          </w:p>
        </w:tc>
        <w:tc>
          <w:tcPr>
            <w:tcW w:type="dxa" w:w="1234"/>
          </w:tcPr>
          <w:p>
            <w:r>
              <w:rPr>
                <w:rFonts w:ascii="Calibri" w:hAnsi="Calibri"/>
                <w:sz w:val="22"/>
              </w:rPr>
              <w:t>-$131M</w:t>
            </w:r>
          </w:p>
        </w:tc>
        <w:tc>
          <w:tcPr>
            <w:tcW w:type="dxa" w:w="1234"/>
          </w:tcPr>
          <w:p>
            <w:r>
              <w:rPr>
                <w:rFonts w:ascii="Calibri" w:hAnsi="Calibri"/>
                <w:sz w:val="22"/>
              </w:rPr>
              <w:t>-$381M</w:t>
            </w:r>
          </w:p>
        </w:tc>
        <w:tc>
          <w:tcPr>
            <w:tcW w:type="dxa" w:w="1234"/>
          </w:tcPr>
          <w:p>
            <w:r>
              <w:rPr>
                <w:rFonts w:ascii="Calibri" w:hAnsi="Calibri"/>
                <w:sz w:val="22"/>
              </w:rPr>
              <w:t>Elevated (FY27 ramp)</w:t>
            </w:r>
          </w:p>
        </w:tc>
        <w:tc>
          <w:tcPr>
            <w:tcW w:type="dxa" w:w="1234"/>
          </w:tcPr>
          <w:p>
            <w:r>
              <w:rPr>
                <w:rFonts w:ascii="Calibri" w:hAnsi="Calibri"/>
                <w:sz w:val="22"/>
              </w:rPr>
              <w:t>$1.4–1.6B FY27</w:t>
            </w:r>
          </w:p>
        </w:tc>
        <w:tc>
          <w:tcPr>
            <w:tcW w:type="dxa" w:w="1234"/>
          </w:tcPr>
          <w:p>
            <w:r>
              <w:rPr>
                <w:rFonts w:ascii="Calibri" w:hAnsi="Calibri"/>
                <w:sz w:val="22"/>
              </w:rPr>
              <w:t>N/A</w:t>
            </w:r>
          </w:p>
        </w:tc>
      </w:tr>
    </w:tbl>
    <w:p>
      <w:r>
        <w:rPr>
          <w:rFonts w:ascii="Calibri" w:hAnsi="Calibri"/>
          <w:color w:val="525866"/>
          <w:sz w:val="22"/>
        </w:rPr>
        <w:t>Sources: Visible Alpha consensus and actuals data. All consensus figures as of July 28, 2026. Guidance from FLEX FY2026 Q4 Earnings Release (May 5, 2026) and Q4 Earnings Call (May 6, 2026). FCF Q1 FY27 consensus reflects elevated CapEx investment period; full-year FCF conversion guided ~60% ex-spin costs.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FY26 Q4 (Mar 2026)</w:t>
            </w:r>
          </w:p>
        </w:tc>
        <w:tc>
          <w:tcPr>
            <w:tcW w:type="dxa" w:w="1728"/>
          </w:tcPr>
          <w:p>
            <w:r>
              <w:rPr>
                <w:rFonts w:ascii="Calibri" w:hAnsi="Calibri"/>
                <w:sz w:val="22"/>
              </w:rPr>
              <w:t>$7.477B</w:t>
            </w:r>
          </w:p>
        </w:tc>
        <w:tc>
          <w:tcPr>
            <w:tcW w:type="dxa" w:w="1728"/>
          </w:tcPr>
          <w:p>
            <w:r>
              <w:rPr>
                <w:rFonts w:ascii="Calibri" w:hAnsi="Calibri"/>
                <w:sz w:val="22"/>
              </w:rPr>
              <w:t>$6.956B</w:t>
            </w:r>
          </w:p>
        </w:tc>
        <w:tc>
          <w:tcPr>
            <w:tcW w:type="dxa" w:w="1728"/>
          </w:tcPr>
          <w:p>
            <w:r>
              <w:rPr>
                <w:rFonts w:ascii="Calibri" w:hAnsi="Calibri"/>
                <w:b/>
                <w:color w:val="30A46C"/>
                <w:sz w:val="22"/>
              </w:rPr>
              <w:t>+7.5%</w:t>
            </w:r>
          </w:p>
        </w:tc>
        <w:tc>
          <w:tcPr>
            <w:tcW w:type="dxa" w:w="1728"/>
          </w:tcPr>
          <w:p>
            <w:r>
              <w:rPr>
                <w:rFonts w:ascii="Calibri" w:hAnsi="Calibri"/>
                <w:sz w:val="22"/>
              </w:rPr>
              <w:t>Beat</w:t>
            </w:r>
          </w:p>
        </w:tc>
      </w:tr>
      <w:tr>
        <w:tc>
          <w:tcPr>
            <w:tcW w:type="dxa" w:w="1728"/>
          </w:tcPr>
          <w:p>
            <w:r>
              <w:rPr>
                <w:rFonts w:ascii="Calibri" w:hAnsi="Calibri"/>
                <w:sz w:val="22"/>
              </w:rPr>
              <w:t>FY26 Q3 (Dec 2025)</w:t>
            </w:r>
          </w:p>
        </w:tc>
        <w:tc>
          <w:tcPr>
            <w:tcW w:type="dxa" w:w="1728"/>
          </w:tcPr>
          <w:p>
            <w:r>
              <w:rPr>
                <w:rFonts w:ascii="Calibri" w:hAnsi="Calibri"/>
                <w:sz w:val="22"/>
              </w:rPr>
              <w:t>$7.058B</w:t>
            </w:r>
          </w:p>
        </w:tc>
        <w:tc>
          <w:tcPr>
            <w:tcW w:type="dxa" w:w="1728"/>
          </w:tcPr>
          <w:p>
            <w:r>
              <w:rPr>
                <w:rFonts w:ascii="Calibri" w:hAnsi="Calibri"/>
                <w:sz w:val="22"/>
              </w:rPr>
              <w:t>$6.814B</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FY26 Q2 (Sep 2025)</w:t>
            </w:r>
          </w:p>
        </w:tc>
        <w:tc>
          <w:tcPr>
            <w:tcW w:type="dxa" w:w="1728"/>
          </w:tcPr>
          <w:p>
            <w:r>
              <w:rPr>
                <w:rFonts w:ascii="Calibri" w:hAnsi="Calibri"/>
                <w:sz w:val="22"/>
              </w:rPr>
              <w:t>$6.804B</w:t>
            </w:r>
          </w:p>
        </w:tc>
        <w:tc>
          <w:tcPr>
            <w:tcW w:type="dxa" w:w="1728"/>
          </w:tcPr>
          <w:p>
            <w:r>
              <w:rPr>
                <w:rFonts w:ascii="Calibri" w:hAnsi="Calibri"/>
                <w:sz w:val="22"/>
              </w:rPr>
              <w:t>$6.699B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FY26 Q1 (Jun 2025)</w:t>
            </w:r>
          </w:p>
        </w:tc>
        <w:tc>
          <w:tcPr>
            <w:tcW w:type="dxa" w:w="1728"/>
          </w:tcPr>
          <w:p>
            <w:r>
              <w:rPr>
                <w:rFonts w:ascii="Calibri" w:hAnsi="Calibri"/>
                <w:sz w:val="22"/>
              </w:rPr>
              <w:t>$6.575B</w:t>
            </w:r>
          </w:p>
        </w:tc>
        <w:tc>
          <w:tcPr>
            <w:tcW w:type="dxa" w:w="1728"/>
          </w:tcPr>
          <w:p>
            <w:r>
              <w:rPr>
                <w:rFonts w:ascii="Calibri" w:hAnsi="Calibri"/>
                <w:sz w:val="22"/>
              </w:rPr>
              <w:t>$6.268B</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FY25 Q4 (Mar 2025)</w:t>
            </w:r>
          </w:p>
        </w:tc>
        <w:tc>
          <w:tcPr>
            <w:tcW w:type="dxa" w:w="1728"/>
          </w:tcPr>
          <w:p>
            <w:r>
              <w:rPr>
                <w:rFonts w:ascii="Calibri" w:hAnsi="Calibri"/>
                <w:sz w:val="22"/>
              </w:rPr>
              <w:t>$6.398B</w:t>
            </w:r>
          </w:p>
        </w:tc>
        <w:tc>
          <w:tcPr>
            <w:tcW w:type="dxa" w:w="1728"/>
          </w:tcPr>
          <w:p>
            <w:r>
              <w:rPr>
                <w:rFonts w:ascii="Calibri" w:hAnsi="Calibri"/>
                <w:sz w:val="22"/>
              </w:rPr>
              <w:t>$6.234B</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FY25 Q3 (Dec 2024)</w:t>
            </w:r>
          </w:p>
        </w:tc>
        <w:tc>
          <w:tcPr>
            <w:tcW w:type="dxa" w:w="1728"/>
          </w:tcPr>
          <w:p>
            <w:r>
              <w:rPr>
                <w:rFonts w:ascii="Calibri" w:hAnsi="Calibri"/>
                <w:sz w:val="22"/>
              </w:rPr>
              <w:t>$6.556B</w:t>
            </w:r>
          </w:p>
        </w:tc>
        <w:tc>
          <w:tcPr>
            <w:tcW w:type="dxa" w:w="1728"/>
          </w:tcPr>
          <w:p>
            <w:r>
              <w:rPr>
                <w:rFonts w:ascii="Calibri" w:hAnsi="Calibri"/>
                <w:sz w:val="22"/>
              </w:rPr>
              <w:t>$6.205B</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FY25 Q2 (Sep 2024)</w:t>
            </w:r>
          </w:p>
        </w:tc>
        <w:tc>
          <w:tcPr>
            <w:tcW w:type="dxa" w:w="1728"/>
          </w:tcPr>
          <w:p>
            <w:r>
              <w:rPr>
                <w:rFonts w:ascii="Calibri" w:hAnsi="Calibri"/>
                <w:sz w:val="22"/>
              </w:rPr>
              <w:t>$6.545B</w:t>
            </w:r>
          </w:p>
        </w:tc>
        <w:tc>
          <w:tcPr>
            <w:tcW w:type="dxa" w:w="1728"/>
          </w:tcPr>
          <w:p>
            <w:r>
              <w:rPr>
                <w:rFonts w:ascii="Calibri" w:hAnsi="Calibri"/>
                <w:sz w:val="22"/>
              </w:rPr>
              <w:t>$6.492B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FY25 Q1 (Jun 2024)</w:t>
            </w:r>
          </w:p>
        </w:tc>
        <w:tc>
          <w:tcPr>
            <w:tcW w:type="dxa" w:w="1728"/>
          </w:tcPr>
          <w:p>
            <w:r>
              <w:rPr>
                <w:rFonts w:ascii="Calibri" w:hAnsi="Calibri"/>
                <w:sz w:val="22"/>
              </w:rPr>
              <w:t>N/A — pre-period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Adj. EPS (Diluted-Operating)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FY26 Q4 (Mar 2026)</w:t>
            </w:r>
          </w:p>
        </w:tc>
        <w:tc>
          <w:tcPr>
            <w:tcW w:type="dxa" w:w="1728"/>
          </w:tcPr>
          <w:p>
            <w:r>
              <w:rPr>
                <w:rFonts w:ascii="Calibri" w:hAnsi="Calibri"/>
                <w:sz w:val="22"/>
              </w:rPr>
              <w:t>$0.93</w:t>
            </w:r>
          </w:p>
        </w:tc>
        <w:tc>
          <w:tcPr>
            <w:tcW w:type="dxa" w:w="1728"/>
          </w:tcPr>
          <w:p>
            <w:r>
              <w:rPr>
                <w:rFonts w:ascii="Calibri" w:hAnsi="Calibri"/>
                <w:sz w:val="22"/>
              </w:rPr>
              <w:t>$0.870</w:t>
            </w:r>
          </w:p>
        </w:tc>
        <w:tc>
          <w:tcPr>
            <w:tcW w:type="dxa" w:w="1728"/>
          </w:tcPr>
          <w:p>
            <w:r>
              <w:rPr>
                <w:rFonts w:ascii="Calibri" w:hAnsi="Calibri"/>
                <w:b/>
                <w:color w:val="30A46C"/>
                <w:sz w:val="22"/>
              </w:rPr>
              <w:t>+6.9%</w:t>
            </w:r>
          </w:p>
        </w:tc>
        <w:tc>
          <w:tcPr>
            <w:tcW w:type="dxa" w:w="1728"/>
          </w:tcPr>
          <w:p>
            <w:r>
              <w:rPr>
                <w:rFonts w:ascii="Calibri" w:hAnsi="Calibri"/>
                <w:sz w:val="22"/>
              </w:rPr>
              <w:t>Beat</w:t>
            </w:r>
          </w:p>
        </w:tc>
      </w:tr>
      <w:tr>
        <w:tc>
          <w:tcPr>
            <w:tcW w:type="dxa" w:w="1728"/>
          </w:tcPr>
          <w:p>
            <w:r>
              <w:rPr>
                <w:rFonts w:ascii="Calibri" w:hAnsi="Calibri"/>
                <w:sz w:val="22"/>
              </w:rPr>
              <w:t>FY26 Q3 (Dec 2025)</w:t>
            </w:r>
          </w:p>
        </w:tc>
        <w:tc>
          <w:tcPr>
            <w:tcW w:type="dxa" w:w="1728"/>
          </w:tcPr>
          <w:p>
            <w:r>
              <w:rPr>
                <w:rFonts w:ascii="Calibri" w:hAnsi="Calibri"/>
                <w:sz w:val="22"/>
              </w:rPr>
              <w:t>$0.87</w:t>
            </w:r>
          </w:p>
        </w:tc>
        <w:tc>
          <w:tcPr>
            <w:tcW w:type="dxa" w:w="1728"/>
          </w:tcPr>
          <w:p>
            <w:r>
              <w:rPr>
                <w:rFonts w:ascii="Calibri" w:hAnsi="Calibri"/>
                <w:sz w:val="22"/>
              </w:rPr>
              <w:t>$0.779</w:t>
            </w:r>
          </w:p>
        </w:tc>
        <w:tc>
          <w:tcPr>
            <w:tcW w:type="dxa" w:w="1728"/>
          </w:tcPr>
          <w:p>
            <w:r>
              <w:rPr>
                <w:rFonts w:ascii="Calibri" w:hAnsi="Calibri"/>
                <w:b/>
                <w:color w:val="30A46C"/>
                <w:sz w:val="22"/>
              </w:rPr>
              <w:t>+11.7%</w:t>
            </w:r>
          </w:p>
        </w:tc>
        <w:tc>
          <w:tcPr>
            <w:tcW w:type="dxa" w:w="1728"/>
          </w:tcPr>
          <w:p>
            <w:r>
              <w:rPr>
                <w:rFonts w:ascii="Calibri" w:hAnsi="Calibri"/>
                <w:sz w:val="22"/>
              </w:rPr>
              <w:t>Beat</w:t>
            </w:r>
          </w:p>
        </w:tc>
      </w:tr>
      <w:tr>
        <w:tc>
          <w:tcPr>
            <w:tcW w:type="dxa" w:w="1728"/>
          </w:tcPr>
          <w:p>
            <w:r>
              <w:rPr>
                <w:rFonts w:ascii="Calibri" w:hAnsi="Calibri"/>
                <w:sz w:val="22"/>
              </w:rPr>
              <w:t>FY26 Q2 (Sep 2025)</w:t>
            </w:r>
          </w:p>
        </w:tc>
        <w:tc>
          <w:tcPr>
            <w:tcW w:type="dxa" w:w="1728"/>
          </w:tcPr>
          <w:p>
            <w:r>
              <w:rPr>
                <w:rFonts w:ascii="Calibri" w:hAnsi="Calibri"/>
                <w:sz w:val="22"/>
              </w:rPr>
              <w:t>$0.79</w:t>
            </w:r>
          </w:p>
        </w:tc>
        <w:tc>
          <w:tcPr>
            <w:tcW w:type="dxa" w:w="1728"/>
          </w:tcPr>
          <w:p>
            <w:r>
              <w:rPr>
                <w:rFonts w:ascii="Calibri" w:hAnsi="Calibri"/>
                <w:sz w:val="22"/>
              </w:rPr>
              <w:t>$0.751</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FY26 Q1 (Jun 2025)</w:t>
            </w:r>
          </w:p>
        </w:tc>
        <w:tc>
          <w:tcPr>
            <w:tcW w:type="dxa" w:w="1728"/>
          </w:tcPr>
          <w:p>
            <w:r>
              <w:rPr>
                <w:rFonts w:ascii="Calibri" w:hAnsi="Calibri"/>
                <w:sz w:val="22"/>
              </w:rPr>
              <w:t>$0.72</w:t>
            </w:r>
          </w:p>
        </w:tc>
        <w:tc>
          <w:tcPr>
            <w:tcW w:type="dxa" w:w="1728"/>
          </w:tcPr>
          <w:p>
            <w:r>
              <w:rPr>
                <w:rFonts w:ascii="Calibri" w:hAnsi="Calibri"/>
                <w:sz w:val="22"/>
              </w:rPr>
              <w:t>$0.630</w:t>
            </w:r>
          </w:p>
        </w:tc>
        <w:tc>
          <w:tcPr>
            <w:tcW w:type="dxa" w:w="1728"/>
          </w:tcPr>
          <w:p>
            <w:r>
              <w:rPr>
                <w:rFonts w:ascii="Calibri" w:hAnsi="Calibri"/>
                <w:b/>
                <w:color w:val="30A46C"/>
                <w:sz w:val="22"/>
              </w:rPr>
              <w:t>+14.3%</w:t>
            </w:r>
          </w:p>
        </w:tc>
        <w:tc>
          <w:tcPr>
            <w:tcW w:type="dxa" w:w="1728"/>
          </w:tcPr>
          <w:p>
            <w:r>
              <w:rPr>
                <w:rFonts w:ascii="Calibri" w:hAnsi="Calibri"/>
                <w:sz w:val="22"/>
              </w:rPr>
              <w:t>Beat</w:t>
            </w:r>
          </w:p>
        </w:tc>
      </w:tr>
      <w:tr>
        <w:tc>
          <w:tcPr>
            <w:tcW w:type="dxa" w:w="1728"/>
          </w:tcPr>
          <w:p>
            <w:r>
              <w:rPr>
                <w:rFonts w:ascii="Calibri" w:hAnsi="Calibri"/>
                <w:sz w:val="22"/>
              </w:rPr>
              <w:t>FY25 Q4 (Mar 2025)</w:t>
            </w:r>
          </w:p>
        </w:tc>
        <w:tc>
          <w:tcPr>
            <w:tcW w:type="dxa" w:w="1728"/>
          </w:tcPr>
          <w:p>
            <w:r>
              <w:rPr>
                <w:rFonts w:ascii="Calibri" w:hAnsi="Calibri"/>
                <w:sz w:val="22"/>
              </w:rPr>
              <w:t>$0.73</w:t>
            </w:r>
          </w:p>
        </w:tc>
        <w:tc>
          <w:tcPr>
            <w:tcW w:type="dxa" w:w="1728"/>
          </w:tcPr>
          <w:p>
            <w:r>
              <w:rPr>
                <w:rFonts w:ascii="Calibri" w:hAnsi="Calibri"/>
                <w:sz w:val="22"/>
              </w:rPr>
              <w:t>$0.694</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FY25 Q3 (Dec 2024)</w:t>
            </w:r>
          </w:p>
        </w:tc>
        <w:tc>
          <w:tcPr>
            <w:tcW w:type="dxa" w:w="1728"/>
          </w:tcPr>
          <w:p>
            <w:r>
              <w:rPr>
                <w:rFonts w:ascii="Calibri" w:hAnsi="Calibri"/>
                <w:sz w:val="22"/>
              </w:rPr>
              <w:t>$0.77</w:t>
            </w:r>
          </w:p>
        </w:tc>
        <w:tc>
          <w:tcPr>
            <w:tcW w:type="dxa" w:w="1728"/>
          </w:tcPr>
          <w:p>
            <w:r>
              <w:rPr>
                <w:rFonts w:ascii="Calibri" w:hAnsi="Calibri"/>
                <w:sz w:val="22"/>
              </w:rPr>
              <w:t>$0.629</w:t>
            </w:r>
          </w:p>
        </w:tc>
        <w:tc>
          <w:tcPr>
            <w:tcW w:type="dxa" w:w="1728"/>
          </w:tcPr>
          <w:p>
            <w:r>
              <w:rPr>
                <w:rFonts w:ascii="Calibri" w:hAnsi="Calibri"/>
                <w:b/>
                <w:color w:val="30A46C"/>
                <w:sz w:val="22"/>
              </w:rPr>
              <w:t>+22.4%</w:t>
            </w:r>
          </w:p>
        </w:tc>
        <w:tc>
          <w:tcPr>
            <w:tcW w:type="dxa" w:w="1728"/>
          </w:tcPr>
          <w:p>
            <w:r>
              <w:rPr>
                <w:rFonts w:ascii="Calibri" w:hAnsi="Calibri"/>
                <w:sz w:val="22"/>
              </w:rPr>
              <w:t>Beat</w:t>
            </w:r>
          </w:p>
        </w:tc>
      </w:tr>
      <w:tr>
        <w:tc>
          <w:tcPr>
            <w:tcW w:type="dxa" w:w="1728"/>
          </w:tcPr>
          <w:p>
            <w:r>
              <w:rPr>
                <w:rFonts w:ascii="Calibri" w:hAnsi="Calibri"/>
                <w:sz w:val="22"/>
              </w:rPr>
              <w:t>FY25 Q2 (Sep 2024)</w:t>
            </w:r>
          </w:p>
        </w:tc>
        <w:tc>
          <w:tcPr>
            <w:tcW w:type="dxa" w:w="1728"/>
          </w:tcPr>
          <w:p>
            <w:r>
              <w:rPr>
                <w:rFonts w:ascii="Calibri" w:hAnsi="Calibri"/>
                <w:sz w:val="22"/>
              </w:rPr>
              <w:t>$0.64</w:t>
            </w:r>
          </w:p>
        </w:tc>
        <w:tc>
          <w:tcPr>
            <w:tcW w:type="dxa" w:w="1728"/>
          </w:tcPr>
          <w:p>
            <w:r>
              <w:rPr>
                <w:rFonts w:ascii="Calibri" w:hAnsi="Calibri"/>
                <w:sz w:val="22"/>
              </w:rPr>
              <w:t>$0.560</w:t>
            </w:r>
          </w:p>
        </w:tc>
        <w:tc>
          <w:tcPr>
            <w:tcW w:type="dxa" w:w="1728"/>
          </w:tcPr>
          <w:p>
            <w:r>
              <w:rPr>
                <w:rFonts w:ascii="Calibri" w:hAnsi="Calibri"/>
                <w:b/>
                <w:color w:val="30A46C"/>
                <w:sz w:val="22"/>
              </w:rPr>
              <w:t>+14.3%</w:t>
            </w:r>
          </w:p>
        </w:tc>
        <w:tc>
          <w:tcPr>
            <w:tcW w:type="dxa" w:w="1728"/>
          </w:tcPr>
          <w:p>
            <w:r>
              <w:rPr>
                <w:rFonts w:ascii="Calibri" w:hAnsi="Calibri"/>
                <w:sz w:val="22"/>
              </w:rPr>
              <w:t>Beat</w:t>
            </w:r>
          </w:p>
        </w:tc>
      </w:tr>
      <w:tr>
        <w:tc>
          <w:tcPr>
            <w:tcW w:type="dxa" w:w="1728"/>
          </w:tcPr>
          <w:p>
            <w:r>
              <w:rPr>
                <w:rFonts w:ascii="Calibri" w:hAnsi="Calibri"/>
                <w:sz w:val="22"/>
              </w:rPr>
              <w:t>FY25 Q1 (Jun 2024)</w:t>
            </w:r>
          </w:p>
        </w:tc>
        <w:tc>
          <w:tcPr>
            <w:tcW w:type="dxa" w:w="1728"/>
          </w:tcPr>
          <w:p>
            <w:r>
              <w:rPr>
                <w:rFonts w:ascii="Calibri" w:hAnsi="Calibri"/>
                <w:sz w:val="22"/>
              </w:rPr>
              <w:t>N/A — pre-period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FLEX has beaten consensus on both revenue and adjusted EPS in every reported quarter over the trailing seven periods, with EPS beats averaging ~10–15% — a strong track record that sets a high implicit bar for the Q1 FY27 print.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b/>
          <w:color w:val="525866"/>
          <w:sz w:val="22"/>
        </w:rPr>
        <w:t xml:space="preserve">No formal guidance revisions since the May 5/6 Q4 FY26 earnings event. </w:t>
      </w:r>
      <w:r>
        <w:rPr>
          <w:rFonts w:ascii="Calibri" w:hAnsi="Calibri"/>
          <w:color w:val="525866"/>
          <w:sz w:val="22"/>
        </w:rPr>
        <w:t>The baseline is the Q4 FY26 earnings call guidance. The only post-earnings filing (June 11 8-K) disclosed the FY27 executive bonus plan structure — no numerical guidance change. Management tone remains confident and constructive on CPI ramp, with the Investor Day postponed to fall 2026 to allow time to present standalone SpinCo financials.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FY27 Net Sales</w:t>
            </w:r>
          </w:p>
        </w:tc>
        <w:tc>
          <w:tcPr>
            <w:tcW w:type="dxa" w:w="1728"/>
          </w:tcPr>
          <w:p>
            <w:r>
              <w:rPr>
                <w:rFonts w:ascii="Calibri" w:hAnsi="Calibri"/>
                <w:sz w:val="22"/>
              </w:rPr>
              <w:t>$7.35B – $7.65B (+14% midpoint)</w:t>
            </w:r>
          </w:p>
        </w:tc>
        <w:tc>
          <w:tcPr>
            <w:tcW w:type="dxa" w:w="1728"/>
          </w:tcPr>
          <w:p>
            <w:r>
              <w:rPr>
                <w:rFonts w:ascii="Calibri" w:hAnsi="Calibri"/>
                <w:sz w:val="22"/>
              </w:rPr>
              <w:t>—</w:t>
            </w:r>
          </w:p>
        </w:tc>
        <w:tc>
          <w:tcPr>
            <w:tcW w:type="dxa" w:w="1728"/>
          </w:tcPr>
          <w:p>
            <w:r>
              <w:rPr>
                <w:rFonts w:ascii="Calibri" w:hAnsi="Calibri"/>
                <w:sz w:val="22"/>
              </w:rPr>
              <w:t>$7.520B</w:t>
            </w:r>
          </w:p>
        </w:tc>
        <w:tc>
          <w:tcPr>
            <w:tcW w:type="dxa" w:w="1728"/>
          </w:tcPr>
          <w:p>
            <w:r>
              <w:rPr>
                <w:rFonts w:ascii="Calibri" w:hAnsi="Calibri"/>
                <w:sz w:val="22"/>
              </w:rPr>
              <w:t>No change; consensus at midpoint</w:t>
            </w:r>
          </w:p>
        </w:tc>
      </w:tr>
      <w:tr>
        <w:tc>
          <w:tcPr>
            <w:tcW w:type="dxa" w:w="1728"/>
          </w:tcPr>
          <w:p>
            <w:r>
              <w:rPr>
                <w:rFonts w:ascii="Calibri" w:hAnsi="Calibri"/>
                <w:sz w:val="22"/>
              </w:rPr>
              <w:t>Q1 FY27 Adj. Operating Income</w:t>
            </w:r>
          </w:p>
        </w:tc>
        <w:tc>
          <w:tcPr>
            <w:tcW w:type="dxa" w:w="1728"/>
          </w:tcPr>
          <w:p>
            <w:r>
              <w:rPr>
                <w:rFonts w:ascii="Calibri" w:hAnsi="Calibri"/>
                <w:sz w:val="22"/>
              </w:rPr>
              <w:t>$469M – $499M</w:t>
            </w:r>
          </w:p>
        </w:tc>
        <w:tc>
          <w:tcPr>
            <w:tcW w:type="dxa" w:w="1728"/>
          </w:tcPr>
          <w:p>
            <w:r>
              <w:rPr>
                <w:rFonts w:ascii="Calibri" w:hAnsi="Calibri"/>
                <w:sz w:val="22"/>
              </w:rPr>
              <w:t>—</w:t>
            </w:r>
          </w:p>
        </w:tc>
        <w:tc>
          <w:tcPr>
            <w:tcW w:type="dxa" w:w="1728"/>
          </w:tcPr>
          <w:p>
            <w:r>
              <w:rPr>
                <w:rFonts w:ascii="Calibri" w:hAnsi="Calibri"/>
                <w:sz w:val="22"/>
              </w:rPr>
              <w:t>$493M</w:t>
            </w:r>
          </w:p>
        </w:tc>
        <w:tc>
          <w:tcPr>
            <w:tcW w:type="dxa" w:w="1728"/>
          </w:tcPr>
          <w:p>
            <w:r>
              <w:rPr>
                <w:rFonts w:ascii="Calibri" w:hAnsi="Calibri"/>
                <w:sz w:val="22"/>
              </w:rPr>
              <w:t>No change; consensus near high end</w:t>
            </w:r>
          </w:p>
        </w:tc>
      </w:tr>
      <w:tr>
        <w:tc>
          <w:tcPr>
            <w:tcW w:type="dxa" w:w="1728"/>
          </w:tcPr>
          <w:p>
            <w:r>
              <w:rPr>
                <w:rFonts w:ascii="Calibri" w:hAnsi="Calibri"/>
                <w:sz w:val="22"/>
              </w:rPr>
              <w:t>Q1 FY27 Adj. EPS</w:t>
            </w:r>
          </w:p>
        </w:tc>
        <w:tc>
          <w:tcPr>
            <w:tcW w:type="dxa" w:w="1728"/>
          </w:tcPr>
          <w:p>
            <w:r>
              <w:rPr>
                <w:rFonts w:ascii="Calibri" w:hAnsi="Calibri"/>
                <w:sz w:val="22"/>
              </w:rPr>
              <w:t>$0.86 – $0.92 (+24% midpoint)</w:t>
            </w:r>
          </w:p>
        </w:tc>
        <w:tc>
          <w:tcPr>
            <w:tcW w:type="dxa" w:w="1728"/>
          </w:tcPr>
          <w:p>
            <w:r>
              <w:rPr>
                <w:rFonts w:ascii="Calibri" w:hAnsi="Calibri"/>
                <w:sz w:val="22"/>
              </w:rPr>
              <w:t>—</w:t>
            </w:r>
          </w:p>
        </w:tc>
        <w:tc>
          <w:tcPr>
            <w:tcW w:type="dxa" w:w="1728"/>
          </w:tcPr>
          <w:p>
            <w:r>
              <w:rPr>
                <w:rFonts w:ascii="Calibri" w:hAnsi="Calibri"/>
                <w:sz w:val="22"/>
              </w:rPr>
              <w:t>$0.907</w:t>
            </w:r>
          </w:p>
        </w:tc>
        <w:tc>
          <w:tcPr>
            <w:tcW w:type="dxa" w:w="1728"/>
          </w:tcPr>
          <w:p>
            <w:r>
              <w:rPr>
                <w:rFonts w:ascii="Calibri" w:hAnsi="Calibri"/>
                <w:sz w:val="22"/>
              </w:rPr>
              <w:t>No change; consensus above midpoint</w:t>
            </w:r>
          </w:p>
        </w:tc>
      </w:tr>
      <w:tr>
        <w:tc>
          <w:tcPr>
            <w:tcW w:type="dxa" w:w="1728"/>
          </w:tcPr>
          <w:p>
            <w:r>
              <w:rPr>
                <w:rFonts w:ascii="Calibri" w:hAnsi="Calibri"/>
                <w:sz w:val="22"/>
              </w:rPr>
              <w:t>Q1 FY27 CPI Revenue</w:t>
            </w:r>
          </w:p>
        </w:tc>
        <w:tc>
          <w:tcPr>
            <w:tcW w:type="dxa" w:w="1728"/>
          </w:tcPr>
          <w:p>
            <w:r>
              <w:rPr>
                <w:rFonts w:ascii="Calibri" w:hAnsi="Calibri"/>
                <w:sz w:val="22"/>
              </w:rPr>
              <w:t>Up 20–30% YoY</w:t>
            </w:r>
          </w:p>
        </w:tc>
        <w:tc>
          <w:tcPr>
            <w:tcW w:type="dxa" w:w="1728"/>
          </w:tcPr>
          <w:p>
            <w:r>
              <w:rPr>
                <w:rFonts w:ascii="Calibri" w:hAnsi="Calibri"/>
                <w:sz w:val="22"/>
              </w:rPr>
              <w:t>—</w:t>
            </w:r>
          </w:p>
        </w:tc>
        <w:tc>
          <w:tcPr>
            <w:tcW w:type="dxa" w:w="1728"/>
          </w:tcPr>
          <w:p>
            <w:r>
              <w:rPr>
                <w:rFonts w:ascii="Calibri" w:hAnsi="Calibri"/>
                <w:sz w:val="22"/>
              </w:rPr>
              <w:t>$2.046B (~+25.8% YoY)</w:t>
            </w:r>
          </w:p>
        </w:tc>
        <w:tc>
          <w:tcPr>
            <w:tcW w:type="dxa" w:w="1728"/>
          </w:tcPr>
          <w:p>
            <w:r>
              <w:rPr>
                <w:rFonts w:ascii="Calibri" w:hAnsi="Calibri"/>
                <w:sz w:val="22"/>
              </w:rPr>
              <w:t>No change; consensus at midpoint of range</w:t>
            </w:r>
          </w:p>
        </w:tc>
      </w:tr>
      <w:tr>
        <w:tc>
          <w:tcPr>
            <w:tcW w:type="dxa" w:w="1728"/>
          </w:tcPr>
          <w:p>
            <w:r>
              <w:rPr>
                <w:rFonts w:ascii="Calibri" w:hAnsi="Calibri"/>
                <w:sz w:val="22"/>
              </w:rPr>
              <w:t>Q1 FY27 RMS Revenue</w:t>
            </w:r>
          </w:p>
        </w:tc>
        <w:tc>
          <w:tcPr>
            <w:tcW w:type="dxa" w:w="1728"/>
          </w:tcPr>
          <w:p>
            <w:r>
              <w:rPr>
                <w:rFonts w:ascii="Calibri" w:hAnsi="Calibri"/>
                <w:sz w:val="22"/>
              </w:rPr>
              <w:t>Up high-single to low-double digits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Driven by industrial and healthcare</w:t>
            </w:r>
          </w:p>
        </w:tc>
      </w:tr>
      <w:tr>
        <w:tc>
          <w:tcPr>
            <w:tcW w:type="dxa" w:w="1728"/>
          </w:tcPr>
          <w:p>
            <w:r>
              <w:rPr>
                <w:rFonts w:ascii="Calibri" w:hAnsi="Calibri"/>
                <w:sz w:val="22"/>
              </w:rPr>
              <w:t>Q1 FY27 ITS Revenue</w:t>
            </w:r>
          </w:p>
        </w:tc>
        <w:tc>
          <w:tcPr>
            <w:tcW w:type="dxa" w:w="1728"/>
          </w:tcPr>
          <w:p>
            <w:r>
              <w:rPr>
                <w:rFonts w:ascii="Calibri" w:hAnsi="Calibri"/>
                <w:sz w:val="22"/>
              </w:rPr>
              <w:t>Up high-single to low-double digits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Comms strength offset by lifestyle weakness</w:t>
            </w:r>
          </w:p>
        </w:tc>
      </w:tr>
      <w:tr>
        <w:tc>
          <w:tcPr>
            <w:tcW w:type="dxa" w:w="1728"/>
          </w:tcPr>
          <w:p>
            <w:r>
              <w:rPr>
                <w:rFonts w:ascii="Calibri" w:hAnsi="Calibri"/>
                <w:sz w:val="22"/>
              </w:rPr>
              <w:t>FY27 Net Sales</w:t>
            </w:r>
          </w:p>
        </w:tc>
        <w:tc>
          <w:tcPr>
            <w:tcW w:type="dxa" w:w="1728"/>
          </w:tcPr>
          <w:p>
            <w:r>
              <w:rPr>
                <w:rFonts w:ascii="Calibri" w:hAnsi="Calibri"/>
                <w:sz w:val="22"/>
              </w:rPr>
              <w:t>$32.3B – $33.8B (+18% midpoint)</w:t>
            </w:r>
          </w:p>
        </w:tc>
        <w:tc>
          <w:tcPr>
            <w:tcW w:type="dxa" w:w="1728"/>
          </w:tcPr>
          <w:p>
            <w:r>
              <w:rPr>
                <w:rFonts w:ascii="Calibri" w:hAnsi="Calibri"/>
                <w:sz w:val="22"/>
              </w:rPr>
              <w:t>—</w:t>
            </w:r>
          </w:p>
        </w:tc>
        <w:tc>
          <w:tcPr>
            <w:tcW w:type="dxa" w:w="1728"/>
          </w:tcPr>
          <w:p>
            <w:r>
              <w:rPr>
                <w:rFonts w:ascii="Calibri" w:hAnsi="Calibri"/>
                <w:sz w:val="22"/>
              </w:rPr>
              <w:t>$33.2B</w:t>
            </w:r>
          </w:p>
        </w:tc>
        <w:tc>
          <w:tcPr>
            <w:tcW w:type="dxa" w:w="1728"/>
          </w:tcPr>
          <w:p>
            <w:r>
              <w:rPr>
                <w:rFonts w:ascii="Calibri" w:hAnsi="Calibri"/>
                <w:sz w:val="22"/>
              </w:rPr>
              <w:t>No change; consensus near midpoint</w:t>
            </w:r>
          </w:p>
        </w:tc>
      </w:tr>
      <w:tr>
        <w:tc>
          <w:tcPr>
            <w:tcW w:type="dxa" w:w="1728"/>
          </w:tcPr>
          <w:p>
            <w:r>
              <w:rPr>
                <w:rFonts w:ascii="Calibri" w:hAnsi="Calibri"/>
                <w:sz w:val="22"/>
              </w:rPr>
              <w:t>FY27 Adj. Operating Margin</w:t>
            </w:r>
          </w:p>
        </w:tc>
        <w:tc>
          <w:tcPr>
            <w:tcW w:type="dxa" w:w="1728"/>
          </w:tcPr>
          <w:p>
            <w:r>
              <w:rPr>
                <w:rFonts w:ascii="Calibri" w:hAnsi="Calibri"/>
                <w:sz w:val="22"/>
              </w:rPr>
              <w:t>7.0% – 7.1% (~+80bps YoY)</w:t>
            </w:r>
          </w:p>
        </w:tc>
        <w:tc>
          <w:tcPr>
            <w:tcW w:type="dxa" w:w="1728"/>
          </w:tcPr>
          <w:p>
            <w:r>
              <w:rPr>
                <w:rFonts w:ascii="Calibri" w:hAnsi="Calibri"/>
                <w:sz w:val="22"/>
              </w:rPr>
              <w:t>—</w:t>
            </w:r>
          </w:p>
        </w:tc>
        <w:tc>
          <w:tcPr>
            <w:tcW w:type="dxa" w:w="1728"/>
          </w:tcPr>
          <w:p>
            <w:r>
              <w:rPr>
                <w:rFonts w:ascii="Calibri" w:hAnsi="Calibri"/>
                <w:sz w:val="22"/>
              </w:rPr>
              <w:t>~7.1% (implied)</w:t>
            </w:r>
          </w:p>
        </w:tc>
        <w:tc>
          <w:tcPr>
            <w:tcW w:type="dxa" w:w="1728"/>
          </w:tcPr>
          <w:p>
            <w:r>
              <w:rPr>
                <w:rFonts w:ascii="Calibri" w:hAnsi="Calibri"/>
                <w:sz w:val="22"/>
              </w:rPr>
              <w:t>No change; driven by CPI investment recoup</w:t>
            </w:r>
          </w:p>
        </w:tc>
      </w:tr>
      <w:tr>
        <w:tc>
          <w:tcPr>
            <w:tcW w:type="dxa" w:w="1728"/>
          </w:tcPr>
          <w:p>
            <w:r>
              <w:rPr>
                <w:rFonts w:ascii="Calibri" w:hAnsi="Calibri"/>
                <w:sz w:val="22"/>
              </w:rPr>
              <w:t>FY27 Adj. EPS</w:t>
            </w:r>
          </w:p>
        </w:tc>
        <w:tc>
          <w:tcPr>
            <w:tcW w:type="dxa" w:w="1728"/>
          </w:tcPr>
          <w:p>
            <w:r>
              <w:rPr>
                <w:rFonts w:ascii="Calibri" w:hAnsi="Calibri"/>
                <w:sz w:val="22"/>
              </w:rPr>
              <w:t>$4.21 – $4.51 (+32% midpoint)</w:t>
            </w:r>
          </w:p>
        </w:tc>
        <w:tc>
          <w:tcPr>
            <w:tcW w:type="dxa" w:w="1728"/>
          </w:tcPr>
          <w:p>
            <w:r>
              <w:rPr>
                <w:rFonts w:ascii="Calibri" w:hAnsi="Calibri"/>
                <w:sz w:val="22"/>
              </w:rPr>
              <w:t>—</w:t>
            </w:r>
          </w:p>
        </w:tc>
        <w:tc>
          <w:tcPr>
            <w:tcW w:type="dxa" w:w="1728"/>
          </w:tcPr>
          <w:p>
            <w:r>
              <w:rPr>
                <w:rFonts w:ascii="Calibri" w:hAnsi="Calibri"/>
                <w:sz w:val="22"/>
              </w:rPr>
              <w:t>$4.466</w:t>
            </w:r>
          </w:p>
        </w:tc>
        <w:tc>
          <w:tcPr>
            <w:tcW w:type="dxa" w:w="1728"/>
          </w:tcPr>
          <w:p>
            <w:r>
              <w:rPr>
                <w:rFonts w:ascii="Calibri" w:hAnsi="Calibri"/>
                <w:sz w:val="22"/>
              </w:rPr>
              <w:t>No change; consensus near high end</w:t>
            </w:r>
          </w:p>
        </w:tc>
      </w:tr>
      <w:tr>
        <w:tc>
          <w:tcPr>
            <w:tcW w:type="dxa" w:w="1728"/>
          </w:tcPr>
          <w:p>
            <w:r>
              <w:rPr>
                <w:rFonts w:ascii="Calibri" w:hAnsi="Calibri"/>
                <w:sz w:val="22"/>
              </w:rPr>
              <w:t>FY27 CPI Revenue</w:t>
            </w:r>
          </w:p>
        </w:tc>
        <w:tc>
          <w:tcPr>
            <w:tcW w:type="dxa" w:w="1728"/>
          </w:tcPr>
          <w:p>
            <w:r>
              <w:rPr>
                <w:rFonts w:ascii="Calibri" w:hAnsi="Calibri"/>
                <w:sz w:val="22"/>
              </w:rPr>
              <w:t>Up 65–75% YoY</w:t>
            </w:r>
          </w:p>
        </w:tc>
        <w:tc>
          <w:tcPr>
            <w:tcW w:type="dxa" w:w="1728"/>
          </w:tcPr>
          <w:p>
            <w:r>
              <w:rPr>
                <w:rFonts w:ascii="Calibri" w:hAnsi="Calibri"/>
                <w:sz w:val="22"/>
              </w:rPr>
              <w:t>—</w:t>
            </w:r>
          </w:p>
        </w:tc>
        <w:tc>
          <w:tcPr>
            <w:tcW w:type="dxa" w:w="1728"/>
          </w:tcPr>
          <w:p>
            <w:r>
              <w:rPr>
                <w:rFonts w:ascii="Calibri" w:hAnsi="Calibri"/>
                <w:sz w:val="22"/>
              </w:rPr>
              <w:t>$11.3B</w:t>
            </w:r>
          </w:p>
        </w:tc>
        <w:tc>
          <w:tcPr>
            <w:tcW w:type="dxa" w:w="1728"/>
          </w:tcPr>
          <w:p>
            <w:r>
              <w:rPr>
                <w:rFonts w:ascii="Calibri" w:hAnsi="Calibri"/>
                <w:sz w:val="22"/>
              </w:rPr>
              <w:t>No change; back-half weighted ramp</w:t>
            </w:r>
          </w:p>
        </w:tc>
      </w:tr>
      <w:tr>
        <w:tc>
          <w:tcPr>
            <w:tcW w:type="dxa" w:w="1728"/>
          </w:tcPr>
          <w:p>
            <w:r>
              <w:rPr>
                <w:rFonts w:ascii="Calibri" w:hAnsi="Calibri"/>
                <w:sz w:val="22"/>
              </w:rPr>
              <w:t>FY27 CapEx</w:t>
            </w:r>
          </w:p>
        </w:tc>
        <w:tc>
          <w:tcPr>
            <w:tcW w:type="dxa" w:w="1728"/>
          </w:tcPr>
          <w:p>
            <w:r>
              <w:rPr>
                <w:rFonts w:ascii="Calibri" w:hAnsi="Calibri"/>
                <w:sz w:val="22"/>
              </w:rPr>
              <w:t>$1.4B – $1.6B</w:t>
            </w:r>
          </w:p>
        </w:tc>
        <w:tc>
          <w:tcPr>
            <w:tcW w:type="dxa" w:w="1728"/>
          </w:tcPr>
          <w:p>
            <w:r>
              <w:rPr>
                <w:rFonts w:ascii="Calibri" w:hAnsi="Calibri"/>
                <w:sz w:val="22"/>
              </w:rPr>
              <w:t>—</w:t>
            </w:r>
          </w:p>
        </w:tc>
        <w:tc>
          <w:tcPr>
            <w:tcW w:type="dxa" w:w="1728"/>
          </w:tcPr>
          <w:p>
            <w:r>
              <w:rPr>
                <w:rFonts w:ascii="Calibri" w:hAnsi="Calibri"/>
                <w:sz w:val="22"/>
              </w:rPr>
              <w:t>$1.514B</w:t>
            </w:r>
          </w:p>
        </w:tc>
        <w:tc>
          <w:tcPr>
            <w:tcW w:type="dxa" w:w="1728"/>
          </w:tcPr>
          <w:p>
            <w:r>
              <w:rPr>
                <w:rFonts w:ascii="Calibri" w:hAnsi="Calibri"/>
                <w:sz w:val="22"/>
              </w:rPr>
              <w:t>No change; elevated vs. historical; normalizes FY28</w:t>
            </w:r>
          </w:p>
        </w:tc>
      </w:tr>
      <w:tr>
        <w:tc>
          <w:tcPr>
            <w:tcW w:type="dxa" w:w="1728"/>
          </w:tcPr>
          <w:p>
            <w:r>
              <w:rPr>
                <w:rFonts w:ascii="Calibri" w:hAnsi="Calibri"/>
                <w:sz w:val="22"/>
              </w:rPr>
              <w:t>Investor Day</w:t>
            </w:r>
          </w:p>
        </w:tc>
        <w:tc>
          <w:tcPr>
            <w:tcW w:type="dxa" w:w="1728"/>
          </w:tcPr>
          <w:p>
            <w:r>
              <w:rPr>
                <w:rFonts w:ascii="Calibri" w:hAnsi="Calibri"/>
                <w:sz w:val="22"/>
              </w:rPr>
              <w:t>Originally planned May 2026</w:t>
            </w:r>
          </w:p>
        </w:tc>
        <w:tc>
          <w:tcPr>
            <w:tcW w:type="dxa" w:w="1728"/>
          </w:tcPr>
          <w:p>
            <w:r>
              <w:rPr>
                <w:rFonts w:ascii="Calibri" w:hAnsi="Calibri"/>
                <w:sz w:val="22"/>
              </w:rPr>
              <w:t>Postponed to Fall 2026</w:t>
            </w:r>
          </w:p>
        </w:tc>
        <w:tc>
          <w:tcPr>
            <w:tcW w:type="dxa" w:w="1728"/>
          </w:tcPr>
          <w:p>
            <w:r>
              <w:rPr>
                <w:rFonts w:ascii="Calibri" w:hAnsi="Calibri"/>
                <w:sz w:val="22"/>
              </w:rPr>
              <w:t>N/A</w:t>
            </w:r>
          </w:p>
        </w:tc>
        <w:tc>
          <w:tcPr>
            <w:tcW w:type="dxa" w:w="1728"/>
          </w:tcPr>
          <w:p>
            <w:r>
              <w:rPr>
                <w:rFonts w:ascii="Calibri" w:hAnsi="Calibri"/>
                <w:sz w:val="22"/>
              </w:rPr>
              <w:t>↑ Postponed to present standalone SpinCo financials; more detail expected</w:t>
            </w:r>
          </w:p>
        </w:tc>
      </w:tr>
    </w:tbl>
    <w:p>
      <w:r>
        <w:rPr>
          <w:rFonts w:ascii="Calibri" w:hAnsi="Calibri"/>
          <w:color w:val="525866"/>
          <w:sz w:val="22"/>
        </w:rPr>
        <w:t>Sources: FLEX Q4 FY26 Earnings Release (May 5, 2026); FLEX Q4 FY26 Earnings Call Transcript (May 6, 2026); FLEX 8-K filed June 12, 2026 (FY27 bonus plan — no guidance change); Visible Alpha consensus data.</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stable-to-slightly-positive since the Q4 FY26 print, tracking guidance closely. </w:t>
      </w:r>
      <w:r>
        <w:rPr>
          <w:rFonts w:ascii="Calibri" w:hAnsi="Calibri"/>
          <w:color w:val="525866"/>
          <w:sz w:val="22"/>
        </w:rPr>
        <w:t>The FY27 EPS consensus has nudged up ~1.6% since the post-earnings baseline, suggesting the street is incrementally more confident in the CPI ramp story. No divergence between guidance and estimates — the gap is not a risk or a cushion, it is a tight alignment.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Q4 Print (as of May 12,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 Q1 FY27</w:t>
            </w:r>
          </w:p>
        </w:tc>
        <w:tc>
          <w:tcPr>
            <w:tcW w:type="dxa" w:w="1080"/>
          </w:tcPr>
          <w:p>
            <w:r>
              <w:rPr>
                <w:rFonts w:ascii="Calibri" w:hAnsi="Calibri"/>
                <w:sz w:val="22"/>
              </w:rPr>
              <w:t>$7.516B</w:t>
            </w:r>
          </w:p>
        </w:tc>
        <w:tc>
          <w:tcPr>
            <w:tcW w:type="dxa" w:w="1080"/>
          </w:tcPr>
          <w:p>
            <w:r>
              <w:rPr>
                <w:rFonts w:ascii="Calibri" w:hAnsi="Calibri"/>
                <w:sz w:val="22"/>
              </w:rPr>
              <w:t>$7.520B</w:t>
            </w:r>
          </w:p>
        </w:tc>
        <w:tc>
          <w:tcPr>
            <w:tcW w:type="dxa" w:w="1080"/>
          </w:tcPr>
          <w:p>
            <w:r>
              <w:rPr>
                <w:rFonts w:ascii="Calibri" w:hAnsi="Calibri"/>
                <w:sz w:val="22"/>
              </w:rPr>
              <w:t>+0.1%</w:t>
            </w:r>
          </w:p>
        </w:tc>
        <w:tc>
          <w:tcPr>
            <w:tcW w:type="dxa" w:w="1080"/>
          </w:tcPr>
          <w:p>
            <w:r>
              <w:rPr>
                <w:rFonts w:ascii="Calibri" w:hAnsi="Calibri"/>
                <w:sz w:val="22"/>
              </w:rPr>
              <w:t>$7.35B–$7.65B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w:t>
            </w:r>
          </w:p>
        </w:tc>
      </w:tr>
      <w:tr>
        <w:tc>
          <w:tcPr>
            <w:tcW w:type="dxa" w:w="1080"/>
          </w:tcPr>
          <w:p>
            <w:r>
              <w:rPr>
                <w:rFonts w:ascii="Calibri" w:hAnsi="Calibri"/>
                <w:sz w:val="22"/>
              </w:rPr>
              <w:t>Adj. EPS — Q1 FY27</w:t>
            </w:r>
          </w:p>
        </w:tc>
        <w:tc>
          <w:tcPr>
            <w:tcW w:type="dxa" w:w="1080"/>
          </w:tcPr>
          <w:p>
            <w:r>
              <w:rPr>
                <w:rFonts w:ascii="Calibri" w:hAnsi="Calibri"/>
                <w:sz w:val="22"/>
              </w:rPr>
              <w:t>$0.893</w:t>
            </w:r>
          </w:p>
        </w:tc>
        <w:tc>
          <w:tcPr>
            <w:tcW w:type="dxa" w:w="1080"/>
          </w:tcPr>
          <w:p>
            <w:r>
              <w:rPr>
                <w:rFonts w:ascii="Calibri" w:hAnsi="Calibri"/>
                <w:sz w:val="22"/>
              </w:rPr>
              <w:t>$0.907</w:t>
            </w:r>
          </w:p>
        </w:tc>
        <w:tc>
          <w:tcPr>
            <w:tcW w:type="dxa" w:w="1080"/>
          </w:tcPr>
          <w:p>
            <w:r>
              <w:rPr>
                <w:rFonts w:ascii="Calibri" w:hAnsi="Calibri"/>
                <w:sz w:val="22"/>
              </w:rPr>
              <w:t>+1.6%</w:t>
            </w:r>
          </w:p>
        </w:tc>
        <w:tc>
          <w:tcPr>
            <w:tcW w:type="dxa" w:w="1080"/>
          </w:tcPr>
          <w:p>
            <w:r>
              <w:rPr>
                <w:rFonts w:ascii="Calibri" w:hAnsi="Calibri"/>
                <w:sz w:val="22"/>
              </w:rPr>
              <w:t>$0.86–$0.92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midpoint</w:t>
            </w:r>
          </w:p>
        </w:tc>
      </w:tr>
      <w:tr>
        <w:tc>
          <w:tcPr>
            <w:tcW w:type="dxa" w:w="1080"/>
          </w:tcPr>
          <w:p>
            <w:r>
              <w:rPr>
                <w:rFonts w:ascii="Calibri" w:hAnsi="Calibri"/>
                <w:sz w:val="22"/>
              </w:rPr>
              <w:t>Net Sales — FY27</w:t>
            </w:r>
          </w:p>
        </w:tc>
        <w:tc>
          <w:tcPr>
            <w:tcW w:type="dxa" w:w="1080"/>
          </w:tcPr>
          <w:p>
            <w:r>
              <w:rPr>
                <w:rFonts w:ascii="Calibri" w:hAnsi="Calibri"/>
                <w:sz w:val="22"/>
              </w:rPr>
              <w:t>$33.149B</w:t>
            </w:r>
          </w:p>
        </w:tc>
        <w:tc>
          <w:tcPr>
            <w:tcW w:type="dxa" w:w="1080"/>
          </w:tcPr>
          <w:p>
            <w:r>
              <w:rPr>
                <w:rFonts w:ascii="Calibri" w:hAnsi="Calibri"/>
                <w:sz w:val="22"/>
              </w:rPr>
              <w:t>$33.217B</w:t>
            </w:r>
          </w:p>
        </w:tc>
        <w:tc>
          <w:tcPr>
            <w:tcW w:type="dxa" w:w="1080"/>
          </w:tcPr>
          <w:p>
            <w:r>
              <w:rPr>
                <w:rFonts w:ascii="Calibri" w:hAnsi="Calibri"/>
                <w:sz w:val="22"/>
              </w:rPr>
              <w:t>+0.2%</w:t>
            </w:r>
          </w:p>
        </w:tc>
        <w:tc>
          <w:tcPr>
            <w:tcW w:type="dxa" w:w="1080"/>
          </w:tcPr>
          <w:p>
            <w:r>
              <w:rPr>
                <w:rFonts w:ascii="Calibri" w:hAnsi="Calibri"/>
                <w:sz w:val="22"/>
              </w:rPr>
              <w:t>$32.3B–$33.8B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w:t>
            </w:r>
          </w:p>
        </w:tc>
      </w:tr>
      <w:tr>
        <w:tc>
          <w:tcPr>
            <w:tcW w:type="dxa" w:w="1080"/>
          </w:tcPr>
          <w:p>
            <w:r>
              <w:rPr>
                <w:rFonts w:ascii="Calibri" w:hAnsi="Calibri"/>
                <w:sz w:val="22"/>
              </w:rPr>
              <w:t>Adj. EPS — FY27</w:t>
            </w:r>
          </w:p>
        </w:tc>
        <w:tc>
          <w:tcPr>
            <w:tcW w:type="dxa" w:w="1080"/>
          </w:tcPr>
          <w:p>
            <w:r>
              <w:rPr>
                <w:rFonts w:ascii="Calibri" w:hAnsi="Calibri"/>
                <w:sz w:val="22"/>
              </w:rPr>
              <w:t>$4.394</w:t>
            </w:r>
          </w:p>
        </w:tc>
        <w:tc>
          <w:tcPr>
            <w:tcW w:type="dxa" w:w="1080"/>
          </w:tcPr>
          <w:p>
            <w:r>
              <w:rPr>
                <w:rFonts w:ascii="Calibri" w:hAnsi="Calibri"/>
                <w:sz w:val="22"/>
              </w:rPr>
              <w:t>$4.466</w:t>
            </w:r>
          </w:p>
        </w:tc>
        <w:tc>
          <w:tcPr>
            <w:tcW w:type="dxa" w:w="1080"/>
          </w:tcPr>
          <w:p>
            <w:r>
              <w:rPr>
                <w:rFonts w:ascii="Calibri" w:hAnsi="Calibri"/>
                <w:sz w:val="22"/>
              </w:rPr>
              <w:t>+1.6%</w:t>
            </w:r>
          </w:p>
        </w:tc>
        <w:tc>
          <w:tcPr>
            <w:tcW w:type="dxa" w:w="1080"/>
          </w:tcPr>
          <w:p>
            <w:r>
              <w:rPr>
                <w:rFonts w:ascii="Calibri" w:hAnsi="Calibri"/>
                <w:sz w:val="22"/>
              </w:rPr>
              <w:t>$4.21–$4.51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+3.4% vs. midpoint</w:t>
            </w:r>
          </w:p>
        </w:tc>
      </w:tr>
      <w:tr>
        <w:tc>
          <w:tcPr>
            <w:tcW w:type="dxa" w:w="1080"/>
          </w:tcPr>
          <w:p>
            <w:r>
              <w:rPr>
                <w:rFonts w:ascii="Calibri" w:hAnsi="Calibri"/>
                <w:sz w:val="22"/>
              </w:rPr>
              <w:t>CPI Revenue — Q1 FY27</w:t>
            </w:r>
          </w:p>
        </w:tc>
        <w:tc>
          <w:tcPr>
            <w:tcW w:type="dxa" w:w="1080"/>
          </w:tcPr>
          <w:p>
            <w:r>
              <w:rPr>
                <w:rFonts w:ascii="Calibri" w:hAnsi="Calibri"/>
                <w:sz w:val="22"/>
              </w:rPr>
              <w:t>$2.046B</w:t>
            </w:r>
          </w:p>
        </w:tc>
        <w:tc>
          <w:tcPr>
            <w:tcW w:type="dxa" w:w="1080"/>
          </w:tcPr>
          <w:p>
            <w:r>
              <w:rPr>
                <w:rFonts w:ascii="Calibri" w:hAnsi="Calibri"/>
                <w:sz w:val="22"/>
              </w:rPr>
              <w:t>$2.046B</w:t>
            </w:r>
          </w:p>
        </w:tc>
        <w:tc>
          <w:tcPr>
            <w:tcW w:type="dxa" w:w="1080"/>
          </w:tcPr>
          <w:p>
            <w:r>
              <w:rPr>
                <w:rFonts w:ascii="Calibri" w:hAnsi="Calibri"/>
                <w:sz w:val="22"/>
              </w:rPr>
              <w:t>Flat</w:t>
            </w:r>
          </w:p>
        </w:tc>
        <w:tc>
          <w:tcPr>
            <w:tcW w:type="dxa" w:w="1080"/>
          </w:tcPr>
          <w:p>
            <w:r>
              <w:rPr>
                <w:rFonts w:ascii="Calibri" w:hAnsi="Calibri"/>
                <w:sz w:val="22"/>
              </w:rPr>
              <w:t>Up 20–30%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 of range</w:t>
            </w:r>
          </w:p>
        </w:tc>
      </w:tr>
      <w:tr>
        <w:tc>
          <w:tcPr>
            <w:tcW w:type="dxa" w:w="1080"/>
          </w:tcPr>
          <w:p>
            <w:r>
              <w:rPr>
                <w:rFonts w:ascii="Calibri" w:hAnsi="Calibri"/>
                <w:sz w:val="22"/>
              </w:rPr>
              <w:t>CPI Revenue — FY27</w:t>
            </w:r>
          </w:p>
        </w:tc>
        <w:tc>
          <w:tcPr>
            <w:tcW w:type="dxa" w:w="1080"/>
          </w:tcPr>
          <w:p>
            <w:r>
              <w:rPr>
                <w:rFonts w:ascii="Calibri" w:hAnsi="Calibri"/>
                <w:sz w:val="22"/>
              </w:rPr>
              <w:t>$11.251B</w:t>
            </w:r>
          </w:p>
        </w:tc>
        <w:tc>
          <w:tcPr>
            <w:tcW w:type="dxa" w:w="1080"/>
          </w:tcPr>
          <w:p>
            <w:r>
              <w:rPr>
                <w:rFonts w:ascii="Calibri" w:hAnsi="Calibri"/>
                <w:sz w:val="22"/>
              </w:rPr>
              <w:t>$11.295B</w:t>
            </w:r>
          </w:p>
        </w:tc>
        <w:tc>
          <w:tcPr>
            <w:tcW w:type="dxa" w:w="1080"/>
          </w:tcPr>
          <w:p>
            <w:r>
              <w:rPr>
                <w:rFonts w:ascii="Calibri" w:hAnsi="Calibri"/>
                <w:sz w:val="22"/>
              </w:rPr>
              <w:t>+0.4%</w:t>
            </w:r>
          </w:p>
        </w:tc>
        <w:tc>
          <w:tcPr>
            <w:tcW w:type="dxa" w:w="1080"/>
          </w:tcPr>
          <w:p>
            <w:r>
              <w:rPr>
                <w:rFonts w:ascii="Calibri" w:hAnsi="Calibri"/>
                <w:sz w:val="22"/>
              </w:rPr>
              <w:t>Up 65–75%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 of range</w:t>
            </w:r>
          </w:p>
        </w:tc>
      </w:tr>
    </w:tbl>
    <w:p>
      <w:r>
        <w:rPr>
          <w:rFonts w:ascii="Calibri" w:hAnsi="Calibri"/>
          <w:color w:val="525866"/>
          <w:sz w:val="22"/>
        </w:rPr>
        <w:t>Estimates have been remarkably stable since the Q4 FY26 print, with EPS revisions modestly positive (+1.6% for both Q1 and FY27). The street is tracking guidance closely with no divergence — this is a tight alignment that leaves little room for a guidance-driven re-rating unless management raises or lowers the FY27 framework. Source: Visible Alpha consensus data; baseline as of May 12, 2026 (5 trading days post Q4 FY26 print on May 5,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b/>
          <w:color w:val="525866"/>
          <w:sz w:val="22"/>
        </w:rPr>
        <w:t xml:space="preserve">The stock surged ~56% on the May 5 spin-off announcement, peaked near $162 in late June, and has since retraced ~30% to ~$113 as of July 29 — driven almost entirely by multiple compression after the initial re-rating, not by estimate cuts. </w:t>
      </w:r>
      <w:r>
        <w:rPr>
          <w:rFonts w:ascii="Calibri" w:hAnsi="Calibri"/>
          <w:color w:val="525866"/>
          <w:sz w:val="22"/>
        </w:rPr>
        <w:t>The stock has dramatically underperformed XLI (+6%) and SPY (+2%) since the June peak, suggesting the market is digesting the elevated CapEx and spin execution risk rather than revising the fundamental outlook.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FLEX vs. XLI vs. S&amp;P 500 — Indexed to 100 at Last Earnings Date (May 5, 2026). Source: Yahoo Finance / Stock Price Data.</w:t>
      </w:r>
    </w:p>
    <w:p>
      <w:r>
        <w:rPr>
          <w:rFonts w:ascii="Calibri" w:hAnsi="Calibri"/>
          <w:b/>
          <w:color w:val="525866"/>
          <w:sz w:val="22"/>
        </w:rPr>
        <w:t xml:space="preserve">Chart notes: </w:t>
      </w:r>
      <w:r>
        <w:rPr>
          <w:rFonts w:ascii="Calibri" w:hAnsi="Calibri"/>
          <w:color w:val="525866"/>
          <w:sz w:val="22"/>
        </w:rPr>
        <w:t>Sector ETF used is XLI (iShares U.S. Industrials ETF), appropriate for FLEX’s EMS/advanced manufacturing sub-sector. Key events marked: May 5 — Q4 FY26 earnings + CPI spin-off announcement (FLEX surged ~40% in one session); June 30 — FLEX peak (~$162); July 2 — sharp pullback begins; July 29 — Q1 FY27 earnings day. FLEX’s 1-month return of approximately -23% vs. XLI +3% and SPY +2% reflects multiple compression from the post-spin peak, not fundamental deterioration. The 6-month return of +77% and 12-month return of +127% reflect the transformational re-rating driven by the CPI spin-off announcement and AI infrastructure growth narrative.</w:t>
      </w:r>
    </w:p>
    <w:p>
      <w:r>
        <w:br w:type="page"/>
      </w:r>
    </w:p>
    <w:p>
      <w:pPr>
        <w:pStyle w:val="Heading2"/>
      </w:pPr>
      <w:r>
        <w:rPr>
          <w:rFonts w:ascii="Calibri" w:hAnsi="Calibri"/>
          <w:b/>
          <w:color w:val="3B4259"/>
          <w:sz w:val="28"/>
        </w:rPr>
        <w:t>Peer Commentary &amp; Current-Quarter Read-Throughs</w:t>
      </w:r>
    </w:p>
    <w:p>
      <w:r>
        <w:rPr>
          <w:rFonts w:ascii="Calibri" w:hAnsi="Calibri"/>
          <w:b/>
          <w:color w:val="525866"/>
          <w:sz w:val="22"/>
        </w:rPr>
        <w:t xml:space="preserve">Key Takeaway: </w:t>
      </w:r>
      <w:r>
        <w:rPr>
          <w:rFonts w:ascii="Calibri" w:hAnsi="Calibri"/>
          <w:b/>
          <w:color w:val="525866"/>
          <w:sz w:val="22"/>
        </w:rPr>
        <w:t xml:space="preserve">Peer commentary from Jabil (June 17), Sanmina (July 27), Dell (May 29), and Celestica (July 28) all point to </w:t>
      </w:r>
      <w:r>
        <w:rPr>
          <w:rFonts w:ascii="Calibri" w:hAnsi="Calibri"/>
          <w:b/>
          <w:color w:val="525866"/>
          <w:sz w:val="22"/>
        </w:rPr>
        <w:t xml:space="preserve">accelerating AI infrastructure demand, strong bookings, and expanding capacity — all constructive read-throughs for FLEX’s CPI segment heading into Q1 FY27. </w:t>
      </w:r>
      <w:r>
        <w:rPr>
          <w:rFonts w:ascii="Calibri" w:hAnsi="Calibri"/>
          <w:color w:val="525866"/>
          <w:sz w:val="22"/>
        </w:rPr>
        <w:t>Component tightness (HBM, high-density PCBs) is the one consistent caution flag across peers.</w:t>
      </w:r>
    </w:p>
    <w:p>
      <w:r>
        <w:rPr>
          <w:rFonts w:ascii="Calibri" w:hAnsi="Calibri"/>
          <w:b/>
          <w:color w:val="525866"/>
          <w:sz w:val="22"/>
        </w:rPr>
        <w:t xml:space="preserve">Note on scope: </w:t>
      </w:r>
      <w:r>
        <w:rPr>
          <w:rFonts w:ascii="Calibri" w:hAnsi="Calibri"/>
          <w:color w:val="525866"/>
          <w:sz w:val="22"/>
        </w:rPr>
        <w:t>Only commentary made May 29 – July 28, 2026 that addresses demand, capacity, or outlook overlapping FLEX’s June 2026 quarter or forward is included below. Retrospective completed-quarter commentary with no forward/current-quarter outlook has been excluded.</w:t>
      </w:r>
    </w:p>
    <w:p>
      <w:pPr>
        <w:pStyle w:val="Heading3"/>
      </w:pPr>
      <w:r>
        <w:rPr>
          <w:rFonts w:ascii="Calibri" w:hAnsi="Calibri"/>
          <w:b/>
          <w:color w:val="3B4259"/>
          <w:sz w:val="24"/>
        </w:rPr>
        <w:t>Jabil (JBL) — Q3 FY26 Earnings Call, June 17, 2026</w:t>
      </w:r>
    </w:p>
    <w:p>
      <w:r>
        <w:rPr>
          <w:rFonts w:ascii="Calibri" w:hAnsi="Calibri"/>
          <w:b/>
          <w:color w:val="525866"/>
          <w:sz w:val="22"/>
        </w:rPr>
        <w:t xml:space="preserve">Relevance: </w:t>
      </w:r>
      <w:r>
        <w:rPr>
          <w:rFonts w:ascii="Calibri" w:hAnsi="Calibri"/>
          <w:color w:val="525866"/>
          <w:sz w:val="22"/>
        </w:rPr>
        <w:t>Jabil is FLEX’s closest EMS peer with a nearly identical AI infrastructure exposure. JBL’s Q3 FY26 (ending May 2026) overlaps with FLEX’s Q1 FY27 (ending June 2026).</w:t>
      </w:r>
    </w:p>
    <w:p>
      <w:pPr>
        <w:pStyle w:val="ListBullet"/>
        <w:ind w:left="360" w:hanging="360"/>
      </w:pPr>
      <w:r>
        <w:rPr>
          <w:rFonts w:ascii="Calibri" w:hAnsi="Calibri"/>
          <w:b/>
          <w:color w:val="525866"/>
          <w:sz w:val="22"/>
        </w:rPr>
        <w:t xml:space="preserve">AI demand: </w:t>
      </w:r>
      <w:r>
        <w:rPr>
          <w:rFonts w:ascii="Calibri" w:hAnsi="Calibri"/>
          <w:i/>
          <w:color w:val="525866"/>
          <w:sz w:val="22"/>
        </w:rPr>
        <w:t xml:space="preserve">"AI infrastructure demand remained extremely strong, and our full year AI related revenue outlook is now meaningfully higher than what we laid out just 90 days ago." JBL raised its FY26 AI revenue guide to $13.6B (from $13.1B), up ~50% YoY from $9B in FY25. Expects similar percentage growth in FY27 on a larger base. </w:t>
      </w:r>
      <w:r>
        <w:rPr>
          <w:rFonts w:ascii="Calibri" w:hAnsi="Calibri"/>
          <w:b/>
          <w:color w:val="525866"/>
          <w:sz w:val="22"/>
        </w:rPr>
        <w:t xml:space="preserve">Read-through: </w:t>
      </w:r>
      <w:r>
        <w:rPr>
          <w:rFonts w:ascii="Calibri" w:hAnsi="Calibri"/>
          <w:color w:val="525866"/>
          <w:sz w:val="22"/>
        </w:rPr>
        <w:t>Directly validates FLEX’s CPI +65–75% FY27 growth target as achievable in the current demand environment.</w:t>
      </w:r>
    </w:p>
    <w:p>
      <w:pPr>
        <w:pStyle w:val="ListBullet"/>
        <w:ind w:left="360" w:hanging="360"/>
      </w:pPr>
      <w:r>
        <w:rPr>
          <w:rFonts w:ascii="Calibri" w:hAnsi="Calibri"/>
          <w:b/>
          <w:color w:val="525866"/>
          <w:sz w:val="22"/>
        </w:rPr>
        <w:t xml:space="preserve">Q4 FY26 Intelligent Infrastructure guide: </w:t>
      </w:r>
      <w:r>
        <w:rPr>
          <w:rFonts w:ascii="Calibri" w:hAnsi="Calibri"/>
          <w:i/>
          <w:color w:val="525866"/>
          <w:sz w:val="22"/>
        </w:rPr>
        <w:t xml:space="preserve">~$4.9B, up ~32% YoY — a "meaningful sequential step up from Q3, reflecting continued strength in AI related programs." </w:t>
      </w:r>
      <w:r>
        <w:rPr>
          <w:rFonts w:ascii="Calibri" w:hAnsi="Calibri"/>
          <w:b/>
          <w:color w:val="525866"/>
          <w:sz w:val="22"/>
        </w:rPr>
        <w:t xml:space="preserve">Read-through: </w:t>
      </w:r>
      <w:r>
        <w:rPr>
          <w:rFonts w:ascii="Calibri" w:hAnsi="Calibri"/>
          <w:color w:val="525866"/>
          <w:sz w:val="22"/>
        </w:rPr>
        <w:t>Implies FLEX’s CPI segment should also see sequential acceleration in the June quarter.</w:t>
      </w:r>
    </w:p>
    <w:p>
      <w:pPr>
        <w:pStyle w:val="ListBullet"/>
        <w:ind w:left="360" w:hanging="360"/>
      </w:pPr>
      <w:r>
        <w:rPr>
          <w:rFonts w:ascii="Calibri" w:hAnsi="Calibri"/>
          <w:b/>
          <w:color w:val="525866"/>
          <w:sz w:val="22"/>
        </w:rPr>
        <w:t xml:space="preserve">Capacity expansion: </w:t>
      </w:r>
      <w:r>
        <w:rPr>
          <w:rFonts w:ascii="Calibri" w:hAnsi="Calibri"/>
          <w:i/>
          <w:color w:val="525866"/>
          <w:sz w:val="22"/>
        </w:rPr>
        <w:t xml:space="preserve">Adding ~10% to global footprint; new capacity coming online in North Carolina, Memphis, and India. North Carolina facility on track for Q4 FY26 completion, targeting $1–3B run rate over 3 years. </w:t>
      </w:r>
      <w:r>
        <w:rPr>
          <w:rFonts w:ascii="Calibri" w:hAnsi="Calibri"/>
          <w:b/>
          <w:color w:val="525866"/>
          <w:sz w:val="22"/>
        </w:rPr>
        <w:t xml:space="preserve">Read-through: </w:t>
      </w:r>
      <w:r>
        <w:rPr>
          <w:rFonts w:ascii="Calibri" w:hAnsi="Calibri"/>
          <w:color w:val="525866"/>
          <w:sz w:val="22"/>
        </w:rPr>
        <w:t>Industry-wide capacity build-out confirms FLEX’s elevated FY27 CapEx ($1.4–1.6B) is consistent with sector norms.</w:t>
      </w:r>
    </w:p>
    <w:p>
      <w:pPr>
        <w:pStyle w:val="ListBullet"/>
        <w:ind w:left="360" w:hanging="360"/>
      </w:pPr>
      <w:r>
        <w:rPr>
          <w:rFonts w:ascii="Calibri" w:hAnsi="Calibri"/>
          <w:b/>
          <w:color w:val="525866"/>
          <w:sz w:val="22"/>
        </w:rPr>
        <w:t xml:space="preserve">Margins: </w:t>
      </w:r>
      <w:r>
        <w:rPr>
          <w:rFonts w:ascii="Calibri" w:hAnsi="Calibri"/>
          <w:i/>
          <w:color w:val="525866"/>
          <w:sz w:val="22"/>
        </w:rPr>
        <w:t xml:space="preserve">Confident in moving core operating margin above 6% in FY27, driven by AI mix improvement, higher-value capabilities (power, liquid cooling, silicon photonics), and operating leverage. </w:t>
      </w:r>
      <w:r>
        <w:rPr>
          <w:rFonts w:ascii="Calibri" w:hAnsi="Calibri"/>
          <w:b/>
          <w:color w:val="525866"/>
          <w:sz w:val="22"/>
        </w:rPr>
        <w:t xml:space="preserve">Read-through: </w:t>
      </w:r>
      <w:r>
        <w:rPr>
          <w:rFonts w:ascii="Calibri" w:hAnsi="Calibri"/>
          <w:color w:val="525866"/>
          <w:sz w:val="22"/>
        </w:rPr>
        <w:t>Supports FLEX’s 7.0–7.1% FY27 adj. operating margin target as credible.</w:t>
      </w:r>
    </w:p>
    <w:p>
      <w:pPr>
        <w:pStyle w:val="ListBullet"/>
        <w:ind w:left="360" w:hanging="360"/>
      </w:pPr>
      <w:r>
        <w:rPr>
          <w:rFonts w:ascii="Calibri" w:hAnsi="Calibri"/>
          <w:b/>
          <w:color w:val="525866"/>
          <w:sz w:val="22"/>
        </w:rPr>
        <w:t xml:space="preserve">Component tightness: </w:t>
      </w:r>
      <w:r>
        <w:rPr>
          <w:rFonts w:ascii="Calibri" w:hAnsi="Calibri"/>
          <w:i/>
          <w:color w:val="525866"/>
          <w:sz w:val="22"/>
        </w:rPr>
        <w:t xml:space="preserve">"High demand for high bandwidth memory... High end, high density interconnect PCBs are in high demand. Lead times have been extending." DDR4 and below expected to see shortages. </w:t>
      </w:r>
      <w:r>
        <w:rPr>
          <w:rFonts w:ascii="Calibri" w:hAnsi="Calibri"/>
          <w:b/>
          <w:color w:val="525866"/>
          <w:sz w:val="22"/>
        </w:rPr>
        <w:t xml:space="preserve">Read-through: </w:t>
      </w:r>
      <w:r>
        <w:rPr>
          <w:rFonts w:ascii="Calibri" w:hAnsi="Calibri"/>
          <w:color w:val="525866"/>
          <w:sz w:val="22"/>
        </w:rPr>
        <w:t>A risk to FLEX’s CPI ramp cadence if component availability constrains shipment timing.</w:t>
      </w:r>
    </w:p>
    <w:p>
      <w:pPr>
        <w:pStyle w:val="Heading3"/>
      </w:pPr>
      <w:r>
        <w:rPr>
          <w:rFonts w:ascii="Calibri" w:hAnsi="Calibri"/>
          <w:b/>
          <w:color w:val="3B4259"/>
          <w:sz w:val="24"/>
        </w:rPr>
        <w:t>Sanmina (SANM) — Q3 FY26 Earnings Call, July 27, 2026</w:t>
      </w:r>
    </w:p>
    <w:p>
      <w:r>
        <w:rPr>
          <w:rFonts w:ascii="Calibri" w:hAnsi="Calibri"/>
          <w:b/>
          <w:color w:val="525866"/>
          <w:sz w:val="22"/>
        </w:rPr>
        <w:t xml:space="preserve">Relevance: </w:t>
      </w:r>
      <w:r>
        <w:rPr>
          <w:rFonts w:ascii="Calibri" w:hAnsi="Calibri"/>
          <w:color w:val="525866"/>
          <w:sz w:val="22"/>
        </w:rPr>
        <w:t>Sanmina’s Q3 FY26 ended June 27, 2026 — directly overlapping FLEX’s Q1 FY27 (ending June 30, 2026). SANM’s commentary is the most timely and directly comparable read-through available.</w:t>
      </w:r>
    </w:p>
    <w:p>
      <w:pPr>
        <w:pStyle w:val="ListBullet"/>
        <w:ind w:left="360" w:hanging="360"/>
      </w:pPr>
      <w:r>
        <w:rPr>
          <w:rFonts w:ascii="Calibri" w:hAnsi="Calibri"/>
          <w:b/>
          <w:color w:val="525866"/>
          <w:sz w:val="22"/>
        </w:rPr>
        <w:t xml:space="preserve">Demand and bookings: </w:t>
      </w:r>
      <w:r>
        <w:rPr>
          <w:rFonts w:ascii="Calibri" w:hAnsi="Calibri"/>
          <w:i/>
          <w:color w:val="525866"/>
          <w:sz w:val="22"/>
        </w:rPr>
        <w:t xml:space="preserve">"Based on what is in front of us, we are more confident than ever in our ability to achieve revenue of $16 billion plus in 2027." Book-to-bill better than 1.1x in Q3. "AI is driving growth in this entire end market." </w:t>
      </w:r>
      <w:r>
        <w:rPr>
          <w:rFonts w:ascii="Calibri" w:hAnsi="Calibri"/>
          <w:b/>
          <w:color w:val="525866"/>
          <w:sz w:val="22"/>
        </w:rPr>
        <w:t xml:space="preserve">Read-through: </w:t>
      </w:r>
      <w:r>
        <w:rPr>
          <w:rFonts w:ascii="Calibri" w:hAnsi="Calibri"/>
          <w:color w:val="525866"/>
          <w:sz w:val="22"/>
        </w:rPr>
        <w:t>Strong bookings and above-1.0 book-to-bill directly ahead of FLEX’s print is a positive leading indicator for FLEX’s CPI demand.</w:t>
      </w:r>
    </w:p>
    <w:p>
      <w:pPr>
        <w:pStyle w:val="ListBullet"/>
        <w:ind w:left="360" w:hanging="360"/>
      </w:pPr>
      <w:r>
        <w:rPr>
          <w:rFonts w:ascii="Calibri" w:hAnsi="Calibri"/>
          <w:b/>
          <w:color w:val="525866"/>
          <w:sz w:val="22"/>
        </w:rPr>
        <w:t xml:space="preserve">Accelerated compute ramp: </w:t>
      </w:r>
      <w:r>
        <w:rPr>
          <w:rFonts w:ascii="Calibri" w:hAnsi="Calibri"/>
          <w:i/>
          <w:color w:val="525866"/>
          <w:sz w:val="22"/>
        </w:rPr>
        <w:t xml:space="preserve">"The new next generation Accelerated Compute program is on track... expected to begin contributing to revenue in Q1 fiscal 2027 and to ramp over time." Secured orders from both hyperscale and OEM customers; expanding customer base. </w:t>
      </w:r>
      <w:r>
        <w:rPr>
          <w:rFonts w:ascii="Calibri" w:hAnsi="Calibri"/>
          <w:b/>
          <w:color w:val="525866"/>
          <w:sz w:val="22"/>
        </w:rPr>
        <w:t xml:space="preserve">Read-through: </w:t>
      </w:r>
      <w:r>
        <w:rPr>
          <w:rFonts w:ascii="Calibri" w:hAnsi="Calibri"/>
          <w:color w:val="525866"/>
          <w:sz w:val="22"/>
        </w:rPr>
        <w:t>Confirms that next-gen AI compute programs are beginning to ramp in the June quarter — consistent with FLEX’s CPI growth trajectory.</w:t>
      </w:r>
    </w:p>
    <w:p>
      <w:pPr>
        <w:pStyle w:val="ListBullet"/>
        <w:ind w:left="360" w:hanging="360"/>
      </w:pPr>
      <w:r>
        <w:rPr>
          <w:rFonts w:ascii="Calibri" w:hAnsi="Calibri"/>
          <w:b/>
          <w:color w:val="525866"/>
          <w:sz w:val="22"/>
        </w:rPr>
        <w:t xml:space="preserve">Back-half FY27 acceleration: </w:t>
      </w:r>
      <w:r>
        <w:rPr>
          <w:rFonts w:ascii="Calibri" w:hAnsi="Calibri"/>
          <w:i/>
          <w:color w:val="525866"/>
          <w:sz w:val="22"/>
        </w:rPr>
        <w:t xml:space="preserve">"We see higher revenue growth in the second half of fiscal year 27, and that growth should continue into fiscal year 28." </w:t>
      </w:r>
      <w:r>
        <w:rPr>
          <w:rFonts w:ascii="Calibri" w:hAnsi="Calibri"/>
          <w:b/>
          <w:color w:val="525866"/>
          <w:sz w:val="22"/>
        </w:rPr>
        <w:t xml:space="preserve">Read-through: </w:t>
      </w:r>
      <w:r>
        <w:rPr>
          <w:rFonts w:ascii="Calibri" w:hAnsi="Calibri"/>
          <w:color w:val="525866"/>
          <w:sz w:val="22"/>
        </w:rPr>
        <w:t>Validates FLEX management’s own messaging that CPI growth is back-half weighted in FY27 — Q1 may be the trough quarter for CPI growth rates.</w:t>
      </w:r>
    </w:p>
    <w:p>
      <w:pPr>
        <w:pStyle w:val="ListBullet"/>
        <w:ind w:left="360" w:hanging="360"/>
      </w:pPr>
      <w:r>
        <w:rPr>
          <w:rFonts w:ascii="Calibri" w:hAnsi="Calibri"/>
          <w:b/>
          <w:color w:val="525866"/>
          <w:sz w:val="22"/>
        </w:rPr>
        <w:t xml:space="preserve">Capacity investments: </w:t>
      </w:r>
      <w:r>
        <w:rPr>
          <w:rFonts w:ascii="Calibri" w:hAnsi="Calibri"/>
          <w:i/>
          <w:color w:val="525866"/>
          <w:sz w:val="22"/>
        </w:rPr>
        <w:t xml:space="preserve">Investing in metal fabrication for AI system racks, high-tech PCBs, liquid cooling, test cell capacity, and automation for next-gen accelerated compute. "I wish I had more capacity to do it, but we’re adding capacity." </w:t>
      </w:r>
      <w:r>
        <w:rPr>
          <w:rFonts w:ascii="Calibri" w:hAnsi="Calibri"/>
          <w:b/>
          <w:color w:val="525866"/>
          <w:sz w:val="22"/>
        </w:rPr>
        <w:t xml:space="preserve">Read-through: </w:t>
      </w:r>
      <w:r>
        <w:rPr>
          <w:rFonts w:ascii="Calibri" w:hAnsi="Calibri"/>
          <w:color w:val="525866"/>
          <w:sz w:val="22"/>
        </w:rPr>
        <w:t>Capacity constraints are real but being addressed — FLEX’s Georgetown, TX facility and Iowa (EP²) investments are consistent with this industry-wide build-out.</w:t>
      </w:r>
    </w:p>
    <w:p>
      <w:pPr>
        <w:pStyle w:val="ListBullet"/>
        <w:ind w:left="360" w:hanging="360"/>
      </w:pPr>
      <w:r>
        <w:rPr>
          <w:rFonts w:ascii="Calibri" w:hAnsi="Calibri"/>
          <w:b/>
          <w:color w:val="525866"/>
          <w:sz w:val="22"/>
        </w:rPr>
        <w:t xml:space="preserve">Component availability: </w:t>
      </w:r>
      <w:r>
        <w:rPr>
          <w:rFonts w:ascii="Calibri" w:hAnsi="Calibri"/>
          <w:i/>
          <w:color w:val="525866"/>
          <w:sz w:val="22"/>
        </w:rPr>
        <w:t xml:space="preserve">"We’re still a little bit constrained by component shortages, you know, all the standard things." </w:t>
      </w:r>
      <w:r>
        <w:rPr>
          <w:rFonts w:ascii="Calibri" w:hAnsi="Calibri"/>
          <w:b/>
          <w:color w:val="525866"/>
          <w:sz w:val="22"/>
        </w:rPr>
        <w:t xml:space="preserve">Read-through: </w:t>
      </w:r>
      <w:r>
        <w:rPr>
          <w:rFonts w:ascii="Calibri" w:hAnsi="Calibri"/>
          <w:color w:val="525866"/>
          <w:sz w:val="22"/>
        </w:rPr>
        <w:t>Ongoing industry-wide component tightness; a modest headwind to near-term shipment timing.</w:t>
      </w:r>
    </w:p>
    <w:p>
      <w:pPr>
        <w:pStyle w:val="ListBullet"/>
        <w:ind w:left="360" w:hanging="360"/>
      </w:pPr>
      <w:r>
        <w:rPr>
          <w:rFonts w:ascii="Calibri" w:hAnsi="Calibri"/>
          <w:b/>
          <w:color w:val="525866"/>
          <w:sz w:val="22"/>
        </w:rPr>
        <w:t xml:space="preserve">Other end markets: </w:t>
      </w:r>
      <w:r>
        <w:rPr>
          <w:rFonts w:ascii="Calibri" w:hAnsi="Calibri"/>
          <w:i/>
          <w:color w:val="525866"/>
          <w:sz w:val="22"/>
        </w:rPr>
        <w:t xml:space="preserve">Industrial/energy, medical, defense/aerospace all expected to accelerate in FY27. Automotive described as "stable" with new program wins driving growth. </w:t>
      </w:r>
      <w:r>
        <w:rPr>
          <w:rFonts w:ascii="Calibri" w:hAnsi="Calibri"/>
          <w:b/>
          <w:color w:val="525866"/>
          <w:sz w:val="22"/>
        </w:rPr>
        <w:t xml:space="preserve">Read-through: </w:t>
      </w:r>
      <w:r>
        <w:rPr>
          <w:rFonts w:ascii="Calibri" w:hAnsi="Calibri"/>
          <w:color w:val="525866"/>
          <w:sz w:val="22"/>
        </w:rPr>
        <w:t>Positive for FLEX’s RMS segment (healthcare, industrial, automotive stabilization).</w:t>
      </w:r>
    </w:p>
    <w:p>
      <w:pPr>
        <w:pStyle w:val="Heading3"/>
      </w:pPr>
      <w:r>
        <w:rPr>
          <w:rFonts w:ascii="Calibri" w:hAnsi="Calibri"/>
          <w:b/>
          <w:color w:val="3B4259"/>
          <w:sz w:val="24"/>
        </w:rPr>
        <w:t>Dell Technologies (DELL) — Q1 FY27 Earnings Commentary, May 29, 2026</w:t>
      </w:r>
    </w:p>
    <w:p>
      <w:r>
        <w:rPr>
          <w:rFonts w:ascii="Calibri" w:hAnsi="Calibri"/>
          <w:b/>
          <w:color w:val="525866"/>
          <w:sz w:val="22"/>
        </w:rPr>
        <w:t xml:space="preserve">Relevance: </w:t>
      </w:r>
      <w:r>
        <w:rPr>
          <w:rFonts w:ascii="Calibri" w:hAnsi="Calibri"/>
          <w:color w:val="525866"/>
          <w:sz w:val="22"/>
        </w:rPr>
        <w:t>Dell’s Q1 FY27 (ending May 2026) is one month ahead of FLEX’s Q1 FY27 (ending June 2026). Dell’s CFO commentary on May 29 provided forward-looking demand signals directly relevant to FLEX’s CPI and ITS segments.</w:t>
      </w:r>
    </w:p>
    <w:p>
      <w:pPr>
        <w:pStyle w:val="ListBullet"/>
        <w:ind w:left="360" w:hanging="360"/>
      </w:pPr>
      <w:r>
        <w:rPr>
          <w:rFonts w:ascii="Calibri" w:hAnsi="Calibri"/>
          <w:b/>
          <w:color w:val="525866"/>
          <w:sz w:val="22"/>
        </w:rPr>
        <w:t xml:space="preserve">AI server demand: </w:t>
      </w:r>
      <w:r>
        <w:rPr>
          <w:rFonts w:ascii="Calibri" w:hAnsi="Calibri"/>
          <w:i/>
          <w:color w:val="525866"/>
          <w:sz w:val="22"/>
        </w:rPr>
        <w:t xml:space="preserve">Dell raised its FY27 AI server guide by $10B to $60B (from $50B), with total FY27 revenue guided to $167B (+~50% YoY). Traditional server/networking grew 92% in Q1. "This is more broad-based and more prevalent across the ecosystem." </w:t>
      </w:r>
      <w:r>
        <w:rPr>
          <w:rFonts w:ascii="Calibri" w:hAnsi="Calibri"/>
          <w:b/>
          <w:color w:val="525866"/>
          <w:sz w:val="22"/>
        </w:rPr>
        <w:t xml:space="preserve">Read-through: </w:t>
      </w:r>
      <w:r>
        <w:rPr>
          <w:rFonts w:ascii="Calibri" w:hAnsi="Calibri"/>
          <w:color w:val="525866"/>
          <w:sz w:val="22"/>
        </w:rPr>
        <w:t>Dell’s massive AI server demand surge is a direct positive for FLEX’s CPI cloud integration and embedded power businesses, which serve hyperscalers and OEMs like Dell.</w:t>
      </w:r>
    </w:p>
    <w:p>
      <w:pPr>
        <w:pStyle w:val="ListBullet"/>
        <w:ind w:left="360" w:hanging="360"/>
      </w:pPr>
      <w:r>
        <w:rPr>
          <w:rFonts w:ascii="Calibri" w:hAnsi="Calibri"/>
          <w:b/>
          <w:color w:val="525866"/>
          <w:sz w:val="22"/>
        </w:rPr>
        <w:t xml:space="preserve">Inferencing TAM expansion: </w:t>
      </w:r>
      <w:r>
        <w:rPr>
          <w:rFonts w:ascii="Calibri" w:hAnsi="Calibri"/>
          <w:i/>
          <w:color w:val="525866"/>
          <w:sz w:val="22"/>
        </w:rPr>
        <w:t xml:space="preserve">"As we move from training models into inferencing, those inferencing workloads are creating a net new environment, a net new TAM." 5,000 enterprise customers now engaged in AI. </w:t>
      </w:r>
      <w:r>
        <w:rPr>
          <w:rFonts w:ascii="Calibri" w:hAnsi="Calibri"/>
          <w:b/>
          <w:color w:val="525866"/>
          <w:sz w:val="22"/>
        </w:rPr>
        <w:t xml:space="preserve">Read-through: </w:t>
      </w:r>
      <w:r>
        <w:rPr>
          <w:rFonts w:ascii="Calibri" w:hAnsi="Calibri"/>
          <w:color w:val="525866"/>
          <w:sz w:val="22"/>
        </w:rPr>
        <w:t>Broadening AI demand beyond hyperscalers into enterprise is a multi-year tailwind for FLEX’s CPI power and cloud integration businesses.</w:t>
      </w:r>
    </w:p>
    <w:p>
      <w:pPr>
        <w:pStyle w:val="ListBullet"/>
        <w:ind w:left="360" w:hanging="360"/>
      </w:pPr>
      <w:r>
        <w:rPr>
          <w:rFonts w:ascii="Calibri" w:hAnsi="Calibri"/>
          <w:b/>
          <w:color w:val="525866"/>
          <w:sz w:val="22"/>
        </w:rPr>
        <w:t xml:space="preserve">Production at scale: </w:t>
      </w:r>
      <w:r>
        <w:rPr>
          <w:rFonts w:ascii="Calibri" w:hAnsi="Calibri"/>
          <w:i/>
          <w:color w:val="525866"/>
          <w:sz w:val="22"/>
        </w:rPr>
        <w:t xml:space="preserve">Dell’s confidence is "built on real durable and accelerating globally the amount of infrastructure that’s needed out there" supported by "production at scale." </w:t>
      </w:r>
      <w:r>
        <w:rPr>
          <w:rFonts w:ascii="Calibri" w:hAnsi="Calibri"/>
          <w:b/>
          <w:color w:val="525866"/>
          <w:sz w:val="22"/>
        </w:rPr>
        <w:t xml:space="preserve">Read-through: </w:t>
      </w:r>
      <w:r>
        <w:rPr>
          <w:rFonts w:ascii="Calibri" w:hAnsi="Calibri"/>
          <w:color w:val="525866"/>
          <w:sz w:val="22"/>
        </w:rPr>
        <w:t>High-volume production requirements from Dell directly benefit FLEX’s manufacturing segments.</w:t>
      </w:r>
    </w:p>
    <w:p>
      <w:pPr>
        <w:pStyle w:val="Heading3"/>
      </w:pPr>
      <w:r>
        <w:rPr>
          <w:rFonts w:ascii="Calibri" w:hAnsi="Calibri"/>
          <w:b/>
          <w:color w:val="3B4259"/>
          <w:sz w:val="24"/>
        </w:rPr>
        <w:t>Celestica (CLS) — Q2 2026 Earnings, July 28, 2026</w:t>
      </w:r>
    </w:p>
    <w:p>
      <w:r>
        <w:rPr>
          <w:rFonts w:ascii="Calibri" w:hAnsi="Calibri"/>
          <w:b/>
          <w:color w:val="525866"/>
          <w:sz w:val="22"/>
        </w:rPr>
        <w:t xml:space="preserve">Relevance: </w:t>
      </w:r>
      <w:r>
        <w:rPr>
          <w:rFonts w:ascii="Calibri" w:hAnsi="Calibri"/>
          <w:color w:val="525866"/>
          <w:sz w:val="22"/>
        </w:rPr>
        <w:t>Celestica’s Q2 2026 (ending June 2026) is the most directly calendar-comparable peer quarter to FLEX’s Q1 FY27 (ending June 2026). CLS reported on July 28, 2026 — the day before FLEX’s print.</w:t>
      </w:r>
    </w:p>
    <w:p>
      <w:pPr>
        <w:pStyle w:val="ListBullet"/>
        <w:ind w:left="360" w:hanging="360"/>
      </w:pPr>
      <w:r>
        <w:rPr>
          <w:rFonts w:ascii="Calibri" w:hAnsi="Calibri"/>
          <w:b/>
          <w:color w:val="525866"/>
          <w:sz w:val="22"/>
        </w:rPr>
        <w:t xml:space="preserve">Note: </w:t>
      </w:r>
      <w:r>
        <w:rPr>
          <w:rFonts w:ascii="Calibri" w:hAnsi="Calibri"/>
          <w:color w:val="525866"/>
          <w:sz w:val="22"/>
        </w:rPr>
        <w:t>The CLS Q2 2026 earnings call transcript was not available for detailed analysis at time of preparation (call ended July 28, 2026). The earnings release was filed. Investors should monitor CLS’s Q2 results and management commentary released July 28 for the most timely read-through into FLEX’s print.</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CPI spin-off announcement on May 5 was the dominant catalyst since last earnings. Post-announcement, the most material development is the June 11 8-K confirming FY27 executive bonus plan metrics (operating profit, FCF, revenue) — signaling management’s internal targets are aligned with the guided framework.</w:t>
      </w:r>
    </w:p>
    <w:p>
      <w:pPr>
        <w:pStyle w:val="ListBullet"/>
        <w:ind w:left="360" w:hanging="360"/>
      </w:pPr>
      <w:r>
        <w:rPr>
          <w:rFonts w:ascii="Calibri" w:hAnsi="Calibri"/>
          <w:b/>
          <w:color w:val="525866"/>
          <w:sz w:val="22"/>
        </w:rPr>
        <w:t xml:space="preserve">May 5, 2026 — CPI Spin-Off Announced: </w:t>
      </w:r>
      <w:r>
        <w:rPr>
          <w:rFonts w:ascii="Calibri" w:hAnsi="Calibri"/>
          <w:color w:val="525866"/>
          <w:sz w:val="22"/>
        </w:rPr>
        <w:t xml:space="preserve">Flex announced the spin-off of its Cloud and Power Infrastructure (CPI) segment into an independent publicly traded company (SpinCo), targeted to close Q1 CY2027. CEO Revathy Advaithi to lead SpinCo; Michael Hartung named incoming Flex CEO. Stock surged ~40% in one session. </w:t>
      </w:r>
      <w:r>
        <w:rPr>
          <w:rFonts w:ascii="Calibri" w:hAnsi="Calibri"/>
          <w:b/>
          <w:color w:val="525866"/>
          <w:sz w:val="22"/>
        </w:rPr>
        <w:t xml:space="preserve">Implication: </w:t>
      </w:r>
      <w:r>
        <w:rPr>
          <w:rFonts w:ascii="Calibri" w:hAnsi="Calibri"/>
          <w:color w:val="525866"/>
          <w:sz w:val="22"/>
        </w:rPr>
        <w:t>Structural catalyst that re-rated the stock; execution risk now the key overhang.</w:t>
      </w:r>
    </w:p>
    <w:p>
      <w:pPr>
        <w:pStyle w:val="ListBullet"/>
        <w:ind w:left="360" w:hanging="360"/>
      </w:pPr>
      <w:r>
        <w:rPr>
          <w:rFonts w:ascii="Calibri" w:hAnsi="Calibri"/>
          <w:b/>
          <w:color w:val="525866"/>
          <w:sz w:val="22"/>
        </w:rPr>
        <w:t xml:space="preserve">May 4–5, 2026 — EP² Acquisition Closed + $1.45B Term Loan: </w:t>
      </w:r>
      <w:r>
        <w:rPr>
          <w:rFonts w:ascii="Calibri" w:hAnsi="Calibri"/>
          <w:color w:val="525866"/>
          <w:sz w:val="22"/>
        </w:rPr>
        <w:t xml:space="preserve">Flex closed the acquisition of EP² (Des Moines, Iowa utility power business) and secured a $1.45B term loan to fund the transaction. EP² expands SpinCo’s utility/grid-to-chip power portfolio. </w:t>
      </w:r>
      <w:r>
        <w:rPr>
          <w:rFonts w:ascii="Calibri" w:hAnsi="Calibri"/>
          <w:b/>
          <w:color w:val="525866"/>
          <w:sz w:val="22"/>
        </w:rPr>
        <w:t xml:space="preserve">Implication: </w:t>
      </w:r>
      <w:r>
        <w:rPr>
          <w:rFonts w:ascii="Calibri" w:hAnsi="Calibri"/>
          <w:color w:val="525866"/>
          <w:sz w:val="22"/>
        </w:rPr>
        <w:t>Adds to CPI’s addressable market in grid and electrical transformation; modestly increases near-term leverage.</w:t>
      </w:r>
    </w:p>
    <w:p>
      <w:pPr>
        <w:pStyle w:val="ListBullet"/>
        <w:ind w:left="360" w:hanging="360"/>
      </w:pPr>
      <w:r>
        <w:rPr>
          <w:rFonts w:ascii="Calibri" w:hAnsi="Calibri"/>
          <w:b/>
          <w:color w:val="525866"/>
          <w:sz w:val="22"/>
        </w:rPr>
        <w:t xml:space="preserve">June 11–12, 2026 — FY27 Executive Bonus Plan (8-K): </w:t>
      </w:r>
      <w:r>
        <w:rPr>
          <w:rFonts w:ascii="Calibri" w:hAnsi="Calibri"/>
          <w:color w:val="525866"/>
          <w:sz w:val="22"/>
        </w:rPr>
        <w:t xml:space="preserve">Board approved FY27 Annual Incentive Bonus Plan with performance measures tied to operating profit, free cash flow, and revenue (non-GAAP). CEO target at 165% of base salary; CFO at 115%. Threshold/maximum range: 30–50% of target threshold to 200% of target. </w:t>
      </w:r>
      <w:r>
        <w:rPr>
          <w:rFonts w:ascii="Calibri" w:hAnsi="Calibri"/>
          <w:b/>
          <w:color w:val="525866"/>
          <w:sz w:val="22"/>
        </w:rPr>
        <w:t xml:space="preserve">Implication: </w:t>
      </w:r>
      <w:r>
        <w:rPr>
          <w:rFonts w:ascii="Calibri" w:hAnsi="Calibri"/>
          <w:color w:val="525866"/>
          <w:sz w:val="22"/>
        </w:rPr>
        <w:t>Management compensation is directly tied to the guided FY27 framework — no divergence between internal targets and public guidance.</w:t>
      </w:r>
    </w:p>
    <w:p>
      <w:pPr>
        <w:pStyle w:val="ListBullet"/>
        <w:ind w:left="360" w:hanging="360"/>
      </w:pPr>
      <w:r>
        <w:rPr>
          <w:rFonts w:ascii="Calibri" w:hAnsi="Calibri"/>
          <w:b/>
          <w:color w:val="525866"/>
          <w:sz w:val="22"/>
        </w:rPr>
        <w:t xml:space="preserve">July 8, 2026 — Q1 FY27 Earnings Date Announced: </w:t>
      </w:r>
      <w:r>
        <w:rPr>
          <w:rFonts w:ascii="Calibri" w:hAnsi="Calibri"/>
          <w:color w:val="525866"/>
          <w:sz w:val="22"/>
        </w:rPr>
        <w:t xml:space="preserve">Flex confirmed Q1 FY27 results to be released July 29, 2026 BMO, with conference call at 8:30 AM ET. </w:t>
      </w:r>
      <w:r>
        <w:rPr>
          <w:rFonts w:ascii="Calibri" w:hAnsi="Calibri"/>
          <w:b/>
          <w:color w:val="525866"/>
          <w:sz w:val="22"/>
        </w:rPr>
        <w:t xml:space="preserve">Implication: </w:t>
      </w:r>
      <w:r>
        <w:rPr>
          <w:rFonts w:ascii="Calibri" w:hAnsi="Calibri"/>
          <w:color w:val="525866"/>
          <w:sz w:val="22"/>
        </w:rPr>
        <w:t>Routine announcement; no guidance update.</w:t>
      </w:r>
    </w:p>
    <w:p>
      <w:pPr>
        <w:pStyle w:val="ListBullet"/>
        <w:ind w:left="360" w:hanging="360"/>
      </w:pPr>
      <w:r>
        <w:rPr>
          <w:rFonts w:ascii="Calibri" w:hAnsi="Calibri"/>
          <w:b/>
          <w:color w:val="525866"/>
          <w:sz w:val="22"/>
        </w:rPr>
        <w:t xml:space="preserve">June 17, 2026 — Jabil Q3 FY26 Earnings Beat + Raised Outlook: </w:t>
      </w:r>
      <w:r>
        <w:rPr>
          <w:rFonts w:ascii="Calibri" w:hAnsi="Calibri"/>
          <w:color w:val="525866"/>
          <w:sz w:val="22"/>
        </w:rPr>
        <w:t xml:space="preserve">JBL raised FY26 AI revenue guide to $13.6B and guided Q4 FY26 Intelligent Infrastructure revenue to ~$4.9B (+32% YoY). Stock surged. </w:t>
      </w:r>
      <w:r>
        <w:rPr>
          <w:rFonts w:ascii="Calibri" w:hAnsi="Calibri"/>
          <w:b/>
          <w:color w:val="525866"/>
          <w:sz w:val="22"/>
        </w:rPr>
        <w:t xml:space="preserve">Implication: </w:t>
      </w:r>
      <w:r>
        <w:rPr>
          <w:rFonts w:ascii="Calibri" w:hAnsi="Calibri"/>
          <w:color w:val="525866"/>
          <w:sz w:val="22"/>
        </w:rPr>
        <w:t>Positive read-through for FLEX’s CPI segment; validates AI infrastructure demand trajectory.</w:t>
      </w:r>
    </w:p>
    <w:p>
      <w:pPr>
        <w:pStyle w:val="ListBullet"/>
        <w:ind w:left="360" w:hanging="360"/>
      </w:pPr>
      <w:r>
        <w:rPr>
          <w:rFonts w:ascii="Calibri" w:hAnsi="Calibri"/>
          <w:b/>
          <w:color w:val="525866"/>
          <w:sz w:val="22"/>
        </w:rPr>
        <w:t xml:space="preserve">May 29, 2026 — Dell Q1 FY27 Earnings Blowout: </w:t>
      </w:r>
      <w:r>
        <w:rPr>
          <w:rFonts w:ascii="Calibri" w:hAnsi="Calibri"/>
          <w:color w:val="525866"/>
          <w:sz w:val="22"/>
        </w:rPr>
        <w:t xml:space="preserve">Dell raised FY27 revenue guide to $167B (+~50% YoY) with AI server guide raised to $60B. Stock surged 33%. </w:t>
      </w:r>
      <w:r>
        <w:rPr>
          <w:rFonts w:ascii="Calibri" w:hAnsi="Calibri"/>
          <w:b/>
          <w:color w:val="525866"/>
          <w:sz w:val="22"/>
        </w:rPr>
        <w:t xml:space="preserve">Implication: </w:t>
      </w:r>
      <w:r>
        <w:rPr>
          <w:rFonts w:ascii="Calibri" w:hAnsi="Calibri"/>
          <w:color w:val="525866"/>
          <w:sz w:val="22"/>
        </w:rPr>
        <w:t>Strong positive read-through for FLEX’s CPI cloud integration and embedded power businesses.</w:t>
      </w:r>
    </w:p>
    <w:p>
      <w:pPr>
        <w:pStyle w:val="ListBullet"/>
        <w:ind w:left="360" w:hanging="360"/>
      </w:pPr>
      <w:r>
        <w:rPr>
          <w:rFonts w:ascii="Calibri" w:hAnsi="Calibri"/>
          <w:b/>
          <w:color w:val="525866"/>
          <w:sz w:val="22"/>
        </w:rPr>
        <w:t xml:space="preserve">July 27, 2026 — Sanmina Q3 FY26 Earnings: </w:t>
      </w:r>
      <w:r>
        <w:rPr>
          <w:rFonts w:ascii="Calibri" w:hAnsi="Calibri"/>
          <w:color w:val="525866"/>
          <w:sz w:val="22"/>
        </w:rPr>
        <w:t xml:space="preserve">SANM reported book-to-bill &gt;1.1x, reaffirmed $16B+ FY27 revenue target, and confirmed accelerated compute program ramp beginning in Q1 FY27. </w:t>
      </w:r>
      <w:r>
        <w:rPr>
          <w:rFonts w:ascii="Calibri" w:hAnsi="Calibri"/>
          <w:b/>
          <w:color w:val="525866"/>
          <w:sz w:val="22"/>
        </w:rPr>
        <w:t xml:space="preserve">Implication: </w:t>
      </w:r>
      <w:r>
        <w:rPr>
          <w:rFonts w:ascii="Calibri" w:hAnsi="Calibri"/>
          <w:color w:val="525866"/>
          <w:sz w:val="22"/>
        </w:rPr>
        <w:t>Most timely peer read-through; directly validates FLEX’s CPI demand environment heading into the print.</w:t>
      </w:r>
    </w:p>
    <w:p>
      <w:pPr>
        <w:pStyle w:val="ListBullet"/>
        <w:ind w:left="360" w:hanging="360"/>
      </w:pPr>
      <w:r>
        <w:rPr>
          <w:rFonts w:ascii="Calibri" w:hAnsi="Calibri"/>
          <w:b/>
          <w:color w:val="525866"/>
          <w:sz w:val="22"/>
        </w:rPr>
        <w:t xml:space="preserve">June 30, 2026 — Vertiv (VRT) AI Buildout Commentary: </w:t>
      </w:r>
      <w:r>
        <w:rPr>
          <w:rFonts w:ascii="Calibri" w:hAnsi="Calibri"/>
          <w:color w:val="525866"/>
          <w:sz w:val="22"/>
        </w:rPr>
        <w:t xml:space="preserve">Mizuho highlighted Vertiv and peers as key beneficiaries of AI buildout; Vertiv CEO discussed data center power constraints and cooling solutions. </w:t>
      </w:r>
      <w:r>
        <w:rPr>
          <w:rFonts w:ascii="Calibri" w:hAnsi="Calibri"/>
          <w:b/>
          <w:color w:val="525866"/>
          <w:sz w:val="22"/>
        </w:rPr>
        <w:t xml:space="preserve">Implication: </w:t>
      </w:r>
      <w:r>
        <w:rPr>
          <w:rFonts w:ascii="Calibri" w:hAnsi="Calibri"/>
          <w:color w:val="525866"/>
          <w:sz w:val="22"/>
        </w:rPr>
        <w:t>Validates FLEX SpinCo’s positioning in the power/thermal management space; competitive landscape remains favorable.</w:t>
      </w:r>
    </w:p>
    <w:p>
      <w:pPr>
        <w:pStyle w:val="ListBullet"/>
        <w:ind w:left="360" w:hanging="360"/>
      </w:pPr>
      <w:r>
        <w:rPr>
          <w:rFonts w:ascii="Calibri" w:hAnsi="Calibri"/>
          <w:b/>
          <w:color w:val="525866"/>
          <w:sz w:val="22"/>
        </w:rPr>
        <w:t xml:space="preserve">June 30, 2026 — SMCI Raid / Dell Beneficiary: </w:t>
      </w:r>
      <w:r>
        <w:rPr>
          <w:rFonts w:ascii="Calibri" w:hAnsi="Calibri"/>
          <w:color w:val="525866"/>
          <w:sz w:val="22"/>
        </w:rPr>
        <w:t xml:space="preserve">Super Micro Computer faced a raid over alleged Nvidia chip smuggling; analysts noted Dell (and by extension FLEX as a manufacturing partner) could benefit from SMCI’s disruption. </w:t>
      </w:r>
      <w:r>
        <w:rPr>
          <w:rFonts w:ascii="Calibri" w:hAnsi="Calibri"/>
          <w:b/>
          <w:color w:val="525866"/>
          <w:sz w:val="22"/>
        </w:rPr>
        <w:t xml:space="preserve">Implication: </w:t>
      </w:r>
      <w:r>
        <w:rPr>
          <w:rFonts w:ascii="Calibri" w:hAnsi="Calibri"/>
          <w:color w:val="525866"/>
          <w:sz w:val="22"/>
        </w:rPr>
        <w:t>Potential share gain opportunity for FLEX’s CPI compute integration business.</w:t>
      </w:r>
    </w:p>
    <w:p>
      <w:r>
        <w:br w:type="page"/>
      </w:r>
    </w:p>
    <w:p>
      <w:pPr>
        <w:pStyle w:val="Heading2"/>
      </w:pPr>
      <w:r>
        <w:rPr>
          <w:rFonts w:ascii="Calibri" w:hAnsi="Calibri"/>
          <w:b/>
          <w:color w:val="3B4259"/>
          <w:sz w:val="28"/>
        </w:rPr>
        <w:t>Key Risks &amp; Questions for the Call</w:t>
      </w:r>
    </w:p>
    <w:p>
      <w:r>
        <w:rPr>
          <w:rFonts w:ascii="Calibri" w:hAnsi="Calibri"/>
          <w:b/>
          <w:color w:val="525866"/>
          <w:sz w:val="22"/>
        </w:rPr>
        <w:t xml:space="preserve">Key Takeaway: </w:t>
      </w:r>
      <w:r>
        <w:rPr>
          <w:rFonts w:ascii="Calibri" w:hAnsi="Calibri"/>
          <w:color w:val="525866"/>
          <w:sz w:val="22"/>
        </w:rPr>
        <w:t>The three biggest risks are (1) CPI ramp timing vs. the aggressive FY27 back-half target, (2) CapEx payback visibility as the spin-off approaches, and (3) spin execution risk including standalone financing and leadership transition.</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CPI ramp cadence risk: </w:t>
      </w:r>
      <w:r>
        <w:rPr>
          <w:rFonts w:ascii="Calibri" w:hAnsi="Calibri"/>
          <w:color w:val="525866"/>
          <w:sz w:val="22"/>
        </w:rPr>
        <w:t>Management guided CPI growth to be back-half weighted in FY27, with Q1 at +20–30% YoY. If Q1 CPI comes in at the low end of the range (~$1.95B), it raises questions about whether the full-year +65–75% target ($11B+) is achievable without an extraordinary H2 acceleration. The math requires CPI to roughly double in H2 FY27 vs. H1 FY27.</w:t>
      </w:r>
    </w:p>
    <w:p>
      <w:pPr>
        <w:pStyle w:val="ListBullet"/>
        <w:ind w:left="360" w:hanging="360"/>
      </w:pPr>
      <w:r>
        <w:rPr>
          <w:rFonts w:ascii="Calibri" w:hAnsi="Calibri"/>
          <w:b/>
          <w:color w:val="525866"/>
          <w:sz w:val="22"/>
        </w:rPr>
        <w:t xml:space="preserve">CapEx payback and FCF trough: </w:t>
      </w:r>
      <w:r>
        <w:rPr>
          <w:rFonts w:ascii="Calibri" w:hAnsi="Calibri"/>
          <w:color w:val="525866"/>
          <w:sz w:val="22"/>
        </w:rPr>
        <w:t>FY27 CapEx is guided to $1.4–1.6B (vs. ~$600M historical run rate), and FCF conversion is guided at ~60% ex-spin costs. Q1 FCF consensus is deeply negative (-$474M). Any signal that CapEx is tracking above the high end of guidance or that FCF conversion is deteriorating would be a negative catalyst.</w:t>
      </w:r>
    </w:p>
    <w:p>
      <w:pPr>
        <w:pStyle w:val="ListBullet"/>
        <w:ind w:left="360" w:hanging="360"/>
      </w:pPr>
      <w:r>
        <w:rPr>
          <w:rFonts w:ascii="Calibri" w:hAnsi="Calibri"/>
          <w:b/>
          <w:color w:val="525866"/>
          <w:sz w:val="22"/>
        </w:rPr>
        <w:t xml:space="preserve">Spin-off execution risk: </w:t>
      </w:r>
      <w:r>
        <w:rPr>
          <w:rFonts w:ascii="Calibri" w:hAnsi="Calibri"/>
          <w:color w:val="525866"/>
          <w:sz w:val="22"/>
        </w:rPr>
        <w:t>The CPI spin-off is targeted for Q1 CY2027 — approximately 6 months away. Key open items include: standalone SpinCo financials (to be presented at fall Investor Day), debt-for-equity exchange mechanics (Flex retains up to 19.9% of SpinCo), and regulatory/tax clearance. Any delay or complication would be a significant negative.</w:t>
      </w:r>
    </w:p>
    <w:p>
      <w:pPr>
        <w:pStyle w:val="ListBullet"/>
        <w:ind w:left="360" w:hanging="360"/>
      </w:pPr>
      <w:r>
        <w:rPr>
          <w:rFonts w:ascii="Calibri" w:hAnsi="Calibri"/>
          <w:b/>
          <w:color w:val="525866"/>
          <w:sz w:val="22"/>
        </w:rPr>
        <w:t xml:space="preserve">Leadership transition: </w:t>
      </w:r>
      <w:r>
        <w:rPr>
          <w:rFonts w:ascii="Calibri" w:hAnsi="Calibri"/>
          <w:color w:val="525866"/>
          <w:sz w:val="22"/>
        </w:rPr>
        <w:t>CEO Revathy Advaithi transitions to SpinCo CEO; Michael Hartung becomes Flex CEO. This is a significant leadership change for RemainCo. Investors will want to hear Hartung’s vision for RemainCo’s growth strategy and capital allocation priorities.</w:t>
      </w:r>
    </w:p>
    <w:p>
      <w:pPr>
        <w:pStyle w:val="ListBullet"/>
        <w:ind w:left="360" w:hanging="360"/>
      </w:pPr>
      <w:r>
        <w:rPr>
          <w:rFonts w:ascii="Calibri" w:hAnsi="Calibri"/>
          <w:b/>
          <w:color w:val="525866"/>
          <w:sz w:val="22"/>
        </w:rPr>
        <w:t xml:space="preserve">Component availability: </w:t>
      </w:r>
      <w:r>
        <w:rPr>
          <w:rFonts w:ascii="Calibri" w:hAnsi="Calibri"/>
          <w:color w:val="525866"/>
          <w:sz w:val="22"/>
        </w:rPr>
        <w:t>Peers (JBL, SANM) flagged HBM and high-density PCB shortages with extending lead times. If component constraints delayed any CPI shipments in the June quarter, it could cause a miss vs. the +20–30% CPI growth guidance.</w:t>
      </w:r>
    </w:p>
    <w:p>
      <w:pPr>
        <w:pStyle w:val="ListBullet"/>
        <w:ind w:left="360" w:hanging="360"/>
      </w:pPr>
      <w:r>
        <w:rPr>
          <w:rFonts w:ascii="Calibri" w:hAnsi="Calibri"/>
          <w:b/>
          <w:color w:val="525866"/>
          <w:sz w:val="22"/>
        </w:rPr>
        <w:t xml:space="preserve">Automotive/ITS softness: </w:t>
      </w:r>
      <w:r>
        <w:rPr>
          <w:rFonts w:ascii="Calibri" w:hAnsi="Calibri"/>
          <w:color w:val="525866"/>
          <w:sz w:val="22"/>
        </w:rPr>
        <w:t>ITS is guided flat to up low-single digits for FY27, with lifestyle weakness offsetting comms strength. Any further deterioration in consumer/lifestyle demand or automotive could pressure RemainCo margins.</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 xml:space="preserve">CPI Q1 actuals vs. guidance: </w:t>
      </w:r>
      <w:r>
        <w:rPr>
          <w:rFonts w:ascii="Calibri" w:hAnsi="Calibri"/>
          <w:color w:val="525866"/>
          <w:sz w:val="22"/>
        </w:rPr>
        <w:t>Where did CPI revenue land in Q1 relative to the +20–30% guidance range? Was growth at the high or low end, and what does that imply for the H2 ramp required to hit the full-year +65–75% target?</w:t>
      </w:r>
    </w:p>
    <w:p>
      <w:pPr>
        <w:pStyle w:val="ListNumber"/>
        <w:ind w:left="360" w:hanging="360"/>
      </w:pPr>
      <w:r>
        <w:rPr>
          <w:rFonts w:ascii="Calibri" w:hAnsi="Calibri"/>
          <w:b/>
          <w:color w:val="525866"/>
          <w:sz w:val="22"/>
        </w:rPr>
        <w:t xml:space="preserve">CPI H2 visibility: </w:t>
      </w:r>
      <w:r>
        <w:rPr>
          <w:rFonts w:ascii="Calibri" w:hAnsi="Calibri"/>
          <w:color w:val="525866"/>
          <w:sz w:val="22"/>
        </w:rPr>
        <w:t>What is the current status of the multi-year Google contract and other hyperscaler programs? Are there any program delays or pull-forwards that would affect the H2 ramp?</w:t>
      </w:r>
    </w:p>
    <w:p>
      <w:pPr>
        <w:pStyle w:val="ListNumber"/>
        <w:ind w:left="360" w:hanging="360"/>
      </w:pPr>
      <w:r>
        <w:rPr>
          <w:rFonts w:ascii="Calibri" w:hAnsi="Calibri"/>
          <w:b/>
          <w:color w:val="525866"/>
          <w:sz w:val="22"/>
        </w:rPr>
        <w:t xml:space="preserve">CapEx tracking: </w:t>
      </w:r>
      <w:r>
        <w:rPr>
          <w:rFonts w:ascii="Calibri" w:hAnsi="Calibri"/>
          <w:color w:val="525866"/>
          <w:sz w:val="22"/>
        </w:rPr>
        <w:t>Is FY27 CapEx tracking within the $1.4–1.6B guidance range? Any update on the Georgetown, TX facility and Iowa (EP²) expansion timelines?</w:t>
      </w:r>
    </w:p>
    <w:p>
      <w:pPr>
        <w:pStyle w:val="ListNumber"/>
        <w:ind w:left="360" w:hanging="360"/>
      </w:pPr>
      <w:r>
        <w:rPr>
          <w:rFonts w:ascii="Calibri" w:hAnsi="Calibri"/>
          <w:b/>
          <w:color w:val="525866"/>
          <w:sz w:val="22"/>
        </w:rPr>
        <w:t xml:space="preserve">Spin-off update: </w:t>
      </w:r>
      <w:r>
        <w:rPr>
          <w:rFonts w:ascii="Calibri" w:hAnsi="Calibri"/>
          <w:color w:val="525866"/>
          <w:sz w:val="22"/>
        </w:rPr>
        <w:t>What is the current status of the CPI spin-off? When will standalone SpinCo financials be available? Any update on the debt-for-equity exchange structure or regulatory timeline?</w:t>
      </w:r>
    </w:p>
    <w:p>
      <w:pPr>
        <w:pStyle w:val="ListNumber"/>
        <w:ind w:left="360" w:hanging="360"/>
      </w:pPr>
      <w:r>
        <w:rPr>
          <w:rFonts w:ascii="Calibri" w:hAnsi="Calibri"/>
          <w:b/>
          <w:color w:val="525866"/>
          <w:sz w:val="22"/>
        </w:rPr>
        <w:t xml:space="preserve">Fall Investor Day: </w:t>
      </w:r>
      <w:r>
        <w:rPr>
          <w:rFonts w:ascii="Calibri" w:hAnsi="Calibri"/>
          <w:color w:val="525866"/>
          <w:sz w:val="22"/>
        </w:rPr>
        <w:t>What can investors expect at the fall Investor Day? Will management provide updated long-term financial frameworks for both RemainCo and SpinCo?</w:t>
      </w:r>
    </w:p>
    <w:p>
      <w:pPr>
        <w:pStyle w:val="ListNumber"/>
        <w:ind w:left="360" w:hanging="360"/>
      </w:pPr>
      <w:r>
        <w:rPr>
          <w:rFonts w:ascii="Calibri" w:hAnsi="Calibri"/>
          <w:b/>
          <w:color w:val="525866"/>
          <w:sz w:val="22"/>
        </w:rPr>
        <w:t xml:space="preserve">RemainCo margin trajectory: </w:t>
      </w:r>
      <w:r>
        <w:rPr>
          <w:rFonts w:ascii="Calibri" w:hAnsi="Calibri"/>
          <w:color w:val="525866"/>
          <w:sz w:val="22"/>
        </w:rPr>
        <w:t>Post-spin, what is the margin expansion roadmap for RemainCo (RMS + ITS)? How does the removal of CPI’s CapEx intensity affect RemainCo’s FCF profile?</w:t>
      </w:r>
    </w:p>
    <w:p>
      <w:pPr>
        <w:pStyle w:val="ListNumber"/>
        <w:ind w:left="360" w:hanging="360"/>
      </w:pPr>
      <w:r>
        <w:rPr>
          <w:rFonts w:ascii="Calibri" w:hAnsi="Calibri"/>
          <w:b/>
          <w:color w:val="525866"/>
          <w:sz w:val="22"/>
        </w:rPr>
        <w:t xml:space="preserve">Component availability: </w:t>
      </w:r>
      <w:r>
        <w:rPr>
          <w:rFonts w:ascii="Calibri" w:hAnsi="Calibri"/>
          <w:color w:val="525866"/>
          <w:sz w:val="22"/>
        </w:rPr>
        <w:t>Did HBM or high-density PCB shortages affect any CPI shipments in Q1? How is FLEX managing supply chain constraints for the H2 ramp?</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