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rt-earnings-predictions--2026-07-31"/>
    <w:p>
      <w:pPr>
        <w:pStyle w:val="Heading1"/>
      </w:pPr>
      <w:r>
        <w:t xml:space="preserve">FRT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Core/NAREIT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1.87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comparable/same-store POI growth (GAAP)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~2.5% vs. cons ~2.9%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Period-end occupancy (% occupied)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~94.0% vs. cons ~93.9%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Core/NAREIT FFO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7.50</m:t>
              </m:r>
              <m:r>
                <m:rPr>
                  <m:sty m:val="p"/>
                </m:rPr>
                <m:t>−</m:t>
              </m:r>
              <m:r>
                <m:t>7.58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7.54) vs. cons ~$7.52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FFO per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1.84</m:t>
              </m:r>
              <m:r>
                <m:rPr>
                  <m:sty m:val="p"/>
                </m:rPr>
                <m:t>−</m:t>
              </m:r>
              <m:r>
                <m:t>1.87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1.855) vs. cons ~$1.86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Annualized dividend (59th consecutive hike)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4.62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4.60 (annualized, Aug-2026 raise)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 POI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~3.25-3.75% (mid ~3.5%) vs. cons ~3.4%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recycling / new-market acquisitions 'of size'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</m:t>
              </m:r>
              <m:r>
                <m:t>B</m:t>
              </m:r>
              <m:r>
                <m:t>p</m:t>
              </m:r>
              <m:r>
                <m:t>i</m:t>
              </m:r>
              <m:r>
                <m:t>p</m:t>
              </m:r>
              <m:r>
                <m:t>e</m:t>
              </m:r>
              <m:r>
                <m:t>l</m:t>
              </m:r>
              <m:r>
                <m:t>i</m:t>
              </m:r>
              <m:r>
                <m:t>n</m:t>
              </m:r>
              <m:r>
                <m:t>e</m:t>
              </m:r>
              <m:r>
                <m:rPr>
                  <m:sty m:val="p"/>
                </m:rPr>
                <m:t>/</m:t>
              </m:r>
              <m:r>
                <m:t>150</m:t>
              </m:r>
              <m:r>
                <m:rPr>
                  <m:sty m:val="p"/>
                </m:rPr>
                <m:t>−</m:t>
              </m:r>
              <m:r>
                <m:t>200</m:t>
              </m:r>
              <m:r>
                <m:t>b</m:t>
              </m:r>
              <m:r>
                <m:t>p</m:t>
              </m:r>
              <m:r>
                <m:t>s</m:t>
              </m:r>
              <m:r>
                <m:t>s</m:t>
              </m:r>
              <m:r>
                <m:t>p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 announced deals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Beat-and-raise plus a likely 59th dividend hike drives a modest positive day-1 residual, but the stock is near 52-week highs at ~16.5x forward FFO after a ~17% re-rating, so expectations are elevated. Out-period math tempers follow-through: management pre-telegraphed Q2/Q3 as the 'soft belly' with same-store growth decelerating 'into the 2s' and a flat Q3 FFO guide (trough), so any FY raise is back-half/deployment-dependent rather than organic. Absent a large newly-announced accretive acquisition, gains fade as estimates hold rather than push higher.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2026-07-31T00:12:26Z</dcterms:created>
  <dcterms:modified xsi:type="dcterms:W3CDTF">2026-07-31T00:12:26Z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