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FRT (Federal Realty Investment Trust) to build an earnings preview. Let me start by gathering recent documents.Let me read the most recent earnings call (2026Q1) and pull recent earnings releases and news.I have detailed Q1 2026 data. Now let me get the year-ago Q2 2025 numbers, recent stock price, and any recent news/analyst activity.Let me check for the May 2026 Investor Day transcript for multi-year targets that frame this print.I now have everything I need. Here's the earnings preview.</w:t>
      </w:r>
    </w:p>
    <w:p>
      <w:r>
        <w:pict>
          <v:rect style="width:0;height:1.5pt" o:hralign="center" o:hrstd="t" o:hr="t"/>
        </w:pict>
      </w:r>
    </w:p>
    <w:bookmarkStart w:id="21" w:name="X75fe50008671174636e3d31a5ff8494ef4f5c4a"/>
    <w:p>
      <w:pPr>
        <w:pStyle w:val="Heading1"/>
      </w:pPr>
      <w:r>
        <w:t xml:space="preserve">Federal Realty Investment Trust (FRT) — Q2 2026 Earnings Preview</w:t>
      </w:r>
    </w:p>
    <w:bookmarkStart w:id="9" w:name="X088560ba7547321112c5892ff35505f0c6e3f3e"/>
    <w:p>
      <w:pPr>
        <w:pStyle w:val="Heading3"/>
      </w:pPr>
      <w:r>
        <w:t xml:space="preserve">Reports after the close, Friday, July 31, 2026 (2026Q2 Earnings Call)</w:t>
      </w:r>
    </w:p>
    <w:bookmarkEnd w:id="9"/>
    <w:bookmarkStart w:id="10" w:name="the-one-line-setup"/>
    <w:p>
      <w:pPr>
        <w:pStyle w:val="Heading2"/>
      </w:pPr>
      <w:r>
        <w:t xml:space="preserve">The one-line setup</w:t>
      </w:r>
    </w:p>
    <w:p>
      <w:pPr>
        <w:pStyle w:val="FirstParagraph"/>
      </w:pPr>
      <w:r>
        <w:t xml:space="preserve">FRT heads into this print with rare momentum: a Q1 blowout, an already-raised full-year guide, a well-received May Investor Day laying out a multi-year "next wave" growth story, and a stock that has re-rated ~17% off its April lows to ~$124. The bar is higher than it's been in years, so this quarter is less about "is business good?" (it is) and more about whether management can (a) hit/beat the explicit Q2 guide, (b) tee up another guidance raise via capital deployment, and (c) sustain the narrative that FRT is entering a 5–7.5% FFO growth regime.</w:t>
      </w:r>
    </w:p>
    <w:p>
      <w:r>
        <w:pict>
          <v:rect style="width:0;height:1.5pt" o:hralign="center" o:hrstd="t" o:hr="t"/>
        </w:pict>
      </w:r>
    </w:p>
    <w:bookmarkEnd w:id="10"/>
    <w:bookmarkStart w:id="11" w:name="Xd434e8042f58600900842a2d97d943d2964e063"/>
    <w:p>
      <w:pPr>
        <w:pStyle w:val="Heading2"/>
      </w:pPr>
      <w:r>
        <w:t xml:space="preserve">What management already told you to expect for Q2</w:t>
      </w:r>
    </w:p>
    <w:p>
      <w:pPr>
        <w:pStyle w:val="FirstParagraph"/>
      </w:pPr>
      <w:r>
        <w:t xml:space="preserve">On the Q1 call (May 1), CFO Dan Guglielmone gave unusually specific quarterly guideposts. Use these as your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Guidance / Prior</w:t>
            </w:r>
          </w:p>
        </w:tc>
        <w:tc>
          <w:tcPr/>
          <w:p>
            <w:pPr>
              <w:pStyle w:val="Compact"/>
            </w:pPr>
            <w:r>
              <w:t xml:space="preserve">Notes</w:t>
            </w:r>
          </w:p>
        </w:tc>
      </w:tr>
      <w:tr>
        <w:tc>
          <w:tcPr/>
          <w:p>
            <w:pPr>
              <w:pStyle w:val="Compact"/>
            </w:pPr>
            <w:r>
              <w:rPr>
                <w:b/>
                <w:bCs/>
              </w:rPr>
              <w:t xml:space="preserve">Q2 2026 FFO/share</w:t>
            </w:r>
          </w:p>
        </w:tc>
        <w:tc>
          <w:tcPr/>
          <w:p>
            <w:pPr>
              <w:pStyle w:val="Compact"/>
            </w:pPr>
            <w:r>
              <w:rPr>
                <w:b/>
                <w:bCs/>
              </w:rPr>
              <w:t xml:space="preserve">$1.83 – $1.86</w:t>
            </w:r>
          </w:p>
        </w:tc>
        <w:tc>
          <w:tcPr/>
          <w:p>
            <w:pPr>
              <w:pStyle w:val="Compact"/>
            </w:pPr>
            <w:r>
              <w:t xml:space="preserve">Midpoint $1.845</w:t>
            </w:r>
          </w:p>
        </w:tc>
      </w:tr>
      <w:tr>
        <w:tc>
          <w:tcPr/>
          <w:p>
            <w:pPr>
              <w:pStyle w:val="Compact"/>
            </w:pPr>
            <w:r>
              <w:t xml:space="preserve">Q3 2026 FFO/share</w:t>
            </w:r>
          </w:p>
        </w:tc>
        <w:tc>
          <w:tcPr/>
          <w:p>
            <w:pPr>
              <w:pStyle w:val="Compact"/>
            </w:pPr>
            <w:r>
              <w:t xml:space="preserve">$1.84 – $1.87</w:t>
            </w:r>
          </w:p>
        </w:tc>
        <w:tc>
          <w:tcPr/>
          <w:p>
            <w:pPr>
              <w:pStyle w:val="Compact"/>
            </w:pPr>
            <w:r>
              <w:t xml:space="preserve">Modeled as a "trough" quarter</w:t>
            </w:r>
          </w:p>
        </w:tc>
      </w:tr>
      <w:tr>
        <w:tc>
          <w:tcPr/>
          <w:p>
            <w:pPr>
              <w:pStyle w:val="Compact"/>
            </w:pPr>
            <w:r>
              <w:t xml:space="preserve">Q4 2026 FFO/share</w:t>
            </w:r>
          </w:p>
        </w:tc>
        <w:tc>
          <w:tcPr/>
          <w:p>
            <w:pPr>
              <w:pStyle w:val="Compact"/>
            </w:pPr>
            <w:r>
              <w:t xml:space="preserve">"low to mid-$1.90s"</w:t>
            </w:r>
          </w:p>
        </w:tc>
        <w:tc>
          <w:tcPr/>
          <w:p>
            <w:pPr>
              <w:pStyle w:val="Compact"/>
            </w:pPr>
            <w:r>
              <w:t xml:space="preserve">The big step-up</w:t>
            </w:r>
          </w:p>
        </w:tc>
      </w:tr>
      <w:tr>
        <w:tc>
          <w:tcPr/>
          <w:p>
            <w:pPr>
              <w:pStyle w:val="Compact"/>
            </w:pPr>
            <w:r>
              <w:rPr>
                <w:b/>
                <w:bCs/>
              </w:rPr>
              <w:t xml:space="preserve">FY2026 core/NAREIT FFO</w:t>
            </w:r>
          </w:p>
        </w:tc>
        <w:tc>
          <w:tcPr/>
          <w:p>
            <w:pPr>
              <w:pStyle w:val="Compact"/>
            </w:pPr>
            <w:r>
              <w:rPr>
                <w:b/>
                <w:bCs/>
              </w:rPr>
              <w:t xml:space="preserve">$7.46 – $7.55</w:t>
            </w:r>
            <w:r>
              <w:t xml:space="preserve"> </w:t>
            </w:r>
            <w:r>
              <w:t xml:space="preserve">(raised from</w:t>
            </w:r>
            <w:r>
              <w:t xml:space="preserve"> </w:t>
            </w:r>
            <m:oMath>
              <m:r>
                <m:t>7.42</m:t>
              </m:r>
              <m:r>
                <m:rPr>
                  <m:sty m:val="p"/>
                </m:rPr>
                <m:t>–</m:t>
              </m:r>
            </m:oMath>
            <w:r>
              <w:t xml:space="preserve">7.51 area)</w:t>
            </w:r>
          </w:p>
        </w:tc>
        <w:tc>
          <w:tcPr/>
          <w:p>
            <w:pPr>
              <w:pStyle w:val="Compact"/>
            </w:pPr>
            <w:r>
              <w:t xml:space="preserve">~6.3% growth at midpoint</w:t>
            </w:r>
          </w:p>
        </w:tc>
      </w:tr>
      <w:tr>
        <w:tc>
          <w:tcPr/>
          <w:p>
            <w:pPr>
              <w:pStyle w:val="Compact"/>
            </w:pPr>
            <w:r>
              <w:t xml:space="preserve">FY2026 comparable POI growth</w:t>
            </w:r>
          </w:p>
        </w:tc>
        <w:tc>
          <w:tcPr/>
          <w:p>
            <w:pPr>
              <w:pStyle w:val="Compact"/>
            </w:pPr>
            <w:r>
              <w:t xml:space="preserve">3.125% – 3.625% (raised)</w:t>
            </w:r>
          </w:p>
        </w:tc>
        <w:tc>
          <w:tcPr/>
          <w:p>
            <w:pPr>
              <w:pStyle w:val="Compact"/>
            </w:pPr>
            <w:r>
              <w:t xml:space="preserve">GAAP basis</w:t>
            </w:r>
          </w:p>
        </w:tc>
      </w:tr>
      <w:tr>
        <w:tc>
          <w:tcPr/>
          <w:p>
            <w:pPr>
              <w:pStyle w:val="Compact"/>
            </w:pPr>
            <w:r>
              <w:t xml:space="preserve">FY2026 term fees</w:t>
            </w:r>
          </w:p>
        </w:tc>
        <w:tc>
          <w:tcPr/>
          <w:p>
            <w:pPr>
              <w:pStyle w:val="Compact"/>
            </w:pPr>
            <w:r>
              <w:t xml:space="preserve">$8M – $9M</w:t>
            </w:r>
          </w:p>
        </w:tc>
        <w:tc>
          <w:tcPr/>
          <w:p>
            <w:pPr>
              <w:pStyle w:val="Compact"/>
            </w:pPr>
            <w:r>
              <w:t xml:space="preserve">Lumpy; a recurring "feature" per mgmt</w:t>
            </w:r>
          </w:p>
        </w:tc>
      </w:tr>
      <w:tr>
        <w:tc>
          <w:tcPr/>
          <w:p>
            <w:pPr>
              <w:pStyle w:val="Compact"/>
            </w:pPr>
            <w:r>
              <w:t xml:space="preserve">Occupancy trajectory</w:t>
            </w:r>
          </w:p>
        </w:tc>
        <w:tc>
          <w:tcPr/>
          <w:p>
            <w:pPr>
              <w:pStyle w:val="Compact"/>
            </w:pPr>
            <w:r>
              <w:t xml:space="preserve">mid/upper-93% through Q3 → mid/upper-94% by year-end</w:t>
            </w:r>
          </w:p>
        </w:tc>
        <w:tc>
          <w:tcPr/>
          <w:p>
            <w:pPr>
              <w:pStyle w:val="Compact"/>
            </w:pPr>
          </w:p>
        </w:tc>
      </w:tr>
    </w:tbl>
    <w:p>
      <w:pPr>
        <w:pStyle w:val="BodyText"/>
      </w:pPr>
      <w:r>
        <w:rPr>
          <w:b/>
          <w:bCs/>
        </w:rPr>
        <w:t xml:space="preserve">Key context on the Q2 comparison:</w:t>
      </w:r>
      <w:r>
        <w:t xml:space="preserve"> </w:t>
      </w:r>
      <w:r>
        <w:t xml:space="preserve">The year-ago Q2 2025 printed a</w:t>
      </w:r>
      <w:r>
        <w:t xml:space="preserve"> </w:t>
      </w:r>
      <w:r>
        <w:rPr>
          <w:i/>
          <w:iCs/>
        </w:rPr>
        <w:t xml:space="preserve">reported</w:t>
      </w:r>
      <w:r>
        <w:t xml:space="preserve"> </w:t>
      </w:r>
      <m:oMath>
        <m:r>
          <m:t>1.91</m:t>
        </m:r>
        <m:r>
          <m:rPr>
            <m:sty m:val="p"/>
          </m:rPr>
          <m:t>,</m:t>
        </m:r>
        <m:r>
          <m:t>b</m:t>
        </m:r>
        <m:r>
          <m:t>u</m:t>
        </m:r>
        <m:r>
          <m:t>t</m:t>
        </m:r>
        <m:r>
          <m:t>t</m:t>
        </m:r>
        <m:r>
          <m:t>h</m:t>
        </m:r>
        <m:r>
          <m:t>a</m:t>
        </m:r>
        <m:r>
          <m:t>t</m:t>
        </m:r>
        <m:r>
          <m:t>i</m:t>
        </m:r>
        <m:r>
          <m:t>n</m:t>
        </m:r>
        <m:r>
          <m:t>c</m:t>
        </m:r>
        <m:r>
          <m:t>l</m:t>
        </m:r>
        <m:r>
          <m:t>u</m:t>
        </m:r>
        <m:r>
          <m:t>d</m:t>
        </m:r>
        <m:r>
          <m:t>e</m:t>
        </m:r>
        <m:r>
          <m:t>d</m:t>
        </m:r>
        <m:r>
          <m:t>a</m:t>
        </m:r>
        <m:r>
          <m:t>o</m:t>
        </m:r>
        <m:r>
          <m:t>n</m:t>
        </m:r>
        <m:r>
          <m:t>e</m:t>
        </m:r>
        <m:r>
          <m:rPr>
            <m:sty m:val="p"/>
          </m:rPr>
          <m:t>−</m:t>
        </m:r>
        <m:r>
          <m:t>t</m:t>
        </m:r>
        <m:r>
          <m:t>i</m:t>
        </m:r>
        <m:r>
          <m:t>m</m:t>
        </m:r>
        <m:r>
          <m:t>e</m:t>
        </m:r>
        <m:r>
          <m:rPr>
            <m:sty m:val="p"/>
          </m:rPr>
          <m:t>*</m:t>
        </m:r>
        <m:r>
          <m:rPr>
            <m:sty m:val="p"/>
          </m:rPr>
          <m:t>*</m:t>
        </m:r>
      </m:oMath>
      <w:r>
        <w:t xml:space="preserve">0.15 new-market tax credit** tied to Freedom Plaza (LA). The "clean" year-ago base was</w:t>
      </w:r>
      <w:r>
        <w:t xml:space="preserve"> </w:t>
      </w:r>
      <w:r>
        <w:rPr>
          <w:b/>
          <w:bCs/>
        </w:rPr>
        <w:t xml:space="preserve">$1.76</w:t>
      </w:r>
      <w:r>
        <w:t xml:space="preserve">. So the $1.845 Q2 midpoint = ~</w:t>
      </w:r>
      <w:r>
        <w:rPr>
          <w:b/>
          <w:bCs/>
        </w:rPr>
        <w:t xml:space="preserve">+4.8% YoY on a clean basis</w:t>
      </w:r>
      <w:r>
        <w:t xml:space="preserve">, even though it optically looks</w:t>
      </w:r>
      <w:r>
        <w:t xml:space="preserve"> </w:t>
      </w:r>
      <w:r>
        <w:rPr>
          <w:i/>
          <w:iCs/>
        </w:rPr>
        <w:t xml:space="preserve">down</w:t>
      </w:r>
      <w:r>
        <w:t xml:space="preserve"> </w:t>
      </w:r>
      <w:r>
        <w:t xml:space="preserve">versus last year's headline $1.91. Expect management/sell-side to frame it on the ex-tax-credit base — watch that the reported print isn't misread as a "miss."</w:t>
      </w:r>
    </w:p>
    <w:p>
      <w:pPr>
        <w:pStyle w:val="BodyText"/>
      </w:pPr>
      <w:r>
        <w:rPr>
          <w:b/>
          <w:bCs/>
        </w:rPr>
        <w:t xml:space="preserve">Cadence note:</w:t>
      </w:r>
      <w:r>
        <w:t xml:space="preserve"> </w:t>
      </w:r>
      <w:r>
        <w:t xml:space="preserve">Management explicitly flagged Q2/Q3 as the</w:t>
      </w:r>
      <w:r>
        <w:t xml:space="preserve"> </w:t>
      </w:r>
      <w:r>
        <w:rPr>
          <w:i/>
          <w:iCs/>
        </w:rPr>
        <w:t xml:space="preserve">soft belly</w:t>
      </w:r>
      <w:r>
        <w:t xml:space="preserve"> </w:t>
      </w:r>
      <w:r>
        <w:t xml:space="preserve">of the year — comparable growth dipping "into the 2s, closer to 2%" on a GAAP basis before a Q4 resurgence to 3.5–4% — driven by a heavy slate of</w:t>
      </w:r>
      <w:r>
        <w:t xml:space="preserve"> </w:t>
      </w:r>
      <w:r>
        <w:rPr>
          <w:b/>
          <w:bCs/>
        </w:rPr>
        <w:t xml:space="preserve">October 1 rent commencements</w:t>
      </w:r>
      <w:r>
        <w:t xml:space="preserve"> </w:t>
      </w:r>
      <w:r>
        <w:t xml:space="preserve">on already-signed leases. Don't be spooked by a decelerating same-store number this quarter; it's telegraphed and back-half-loaded.</w:t>
      </w:r>
    </w:p>
    <w:p>
      <w:r>
        <w:pict>
          <v:rect style="width:0;height:1.5pt" o:hralign="center" o:hrstd="t" o:hr="t"/>
        </w:pict>
      </w:r>
    </w:p>
    <w:bookmarkEnd w:id="11"/>
    <w:bookmarkStart w:id="18" w:name="what-actually-matters-this-print"/>
    <w:p>
      <w:pPr>
        <w:pStyle w:val="Heading2"/>
      </w:pPr>
      <w:r>
        <w:t xml:space="preserve">What actually matters this print</w:t>
      </w:r>
    </w:p>
    <w:bookmarkStart w:id="12" w:name="Xf57e1b777bd13ef9219aec787bbc4aabdce96ec"/>
    <w:p>
      <w:pPr>
        <w:pStyle w:val="Heading3"/>
      </w:pPr>
      <w:r>
        <w:t xml:space="preserve">1. Will they beat and raise (again)?</w:t>
      </w:r>
    </w:p>
    <w:p>
      <w:pPr>
        <w:pStyle w:val="FirstParagraph"/>
      </w:pPr>
      <w:r>
        <w:t xml:space="preserve">FRT has posted consecutive beat-and-raises. Q1 came in at</w:t>
      </w:r>
      <w:r>
        <w:t xml:space="preserve"> </w:t>
      </w:r>
      <m:oMath>
        <m:r>
          <m:t>1.88</m:t>
        </m:r>
        <m:r>
          <m:rPr>
            <m:sty m:val="p"/>
          </m:rPr>
          <m:t>,</m:t>
        </m:r>
        <m:r>
          <m:t> </m:t>
        </m:r>
      </m:oMath>
      <w:r>
        <w:rPr>
          <w:b/>
          <w:bCs/>
        </w:rPr>
        <w:t xml:space="preserve">0.06 (3.6%) above the midpoint</w:t>
      </w:r>
      <w:r>
        <w:t xml:space="preserve"> </w:t>
      </w:r>
      <w:r>
        <w:t xml:space="preserve">and +10.6% YoY, driven by higher occupancy/parking/ancillary income, expense savings on the 2025 acquisition pool, higher term fees, and some FAS 141 timing pull-forwards. Some of that Q1 upside was timing (pulled from later quarters), so a "clean" in-line-to-modest-beat Q2 is the realistic bogey. The more important question is whether they</w:t>
      </w:r>
      <w:r>
        <w:t xml:space="preserve"> </w:t>
      </w:r>
      <w:r>
        <w:rPr>
          <w:b/>
          <w:bCs/>
        </w:rPr>
        <w:t xml:space="preserve">raise the full-year guide again</w:t>
      </w:r>
      <w:r>
        <w:t xml:space="preserve"> </w:t>
      </w:r>
      <w:r>
        <w:t xml:space="preserve">— management said explicitly they expect to adjust guidance</w:t>
      </w:r>
      <w:r>
        <w:t xml:space="preserve"> </w:t>
      </w:r>
      <w:r>
        <w:rPr>
          <w:i/>
          <w:iCs/>
        </w:rPr>
        <w:t xml:space="preserve">upward</w:t>
      </w:r>
      <w:r>
        <w:t xml:space="preserve"> </w:t>
      </w:r>
      <w:r>
        <w:t xml:space="preserve">as second-half acquisitions/dispositions close.</w:t>
      </w:r>
    </w:p>
    <w:bookmarkEnd w:id="12"/>
    <w:bookmarkStart w:id="13" w:name="X82a3f446609ebaeb6ac41de23de3345e55788dd"/>
    <w:p>
      <w:pPr>
        <w:pStyle w:val="Heading3"/>
      </w:pPr>
      <w:r>
        <w:t xml:space="preserve">2. Capital recycling — the swing factor</w:t>
      </w:r>
    </w:p>
    <w:p>
      <w:pPr>
        <w:pStyle w:val="FirstParagraph"/>
      </w:pPr>
      <w:r>
        <w:t xml:space="preserve">This is the crux of the FRT story right now. On the Q1 call and at Investor Day, they laid out:</w:t>
      </w:r>
    </w:p>
    <w:p>
      <w:pPr>
        <w:pStyle w:val="Compact"/>
        <w:numPr>
          <w:ilvl w:val="0"/>
          <w:numId w:val="1001"/>
        </w:numPr>
      </w:pPr>
      <w:r>
        <w:t xml:space="preserve">A</w:t>
      </w:r>
      <w:r>
        <w:t xml:space="preserve"> </w:t>
      </w:r>
      <w:r>
        <w:rPr>
          <w:b/>
          <w:bCs/>
        </w:rPr>
        <w:t xml:space="preserve">$1.5B disposition pool</w:t>
      </w:r>
      <w:r>
        <w:t xml:space="preserve"> </w:t>
      </w:r>
      <w:r>
        <w:t xml:space="preserve">(mature low-growth retail + peripheral residential/office) sold at 5–6% cap / sub-7% IRR, funding acquisitions at</w:t>
      </w:r>
      <w:r>
        <w:t xml:space="preserve"> </w:t>
      </w:r>
      <w:r>
        <w:rPr>
          <w:b/>
          <w:bCs/>
        </w:rPr>
        <w:t xml:space="preserve">8–10% IRRs</w:t>
      </w:r>
      <w:r>
        <w:t xml:space="preserve"> </w:t>
      </w:r>
      <w:r>
        <w:t xml:space="preserve">— targeting a</w:t>
      </w:r>
      <w:r>
        <w:t xml:space="preserve"> </w:t>
      </w:r>
      <w:r>
        <w:rPr>
          <w:b/>
          <w:bCs/>
        </w:rPr>
        <w:t xml:space="preserve">150–200 bps spread</w:t>
      </w:r>
      <w:r>
        <w:t xml:space="preserve">.</w:t>
      </w:r>
    </w:p>
    <w:p>
      <w:pPr>
        <w:pStyle w:val="Compact"/>
        <w:numPr>
          <w:ilvl w:val="0"/>
          <w:numId w:val="1001"/>
        </w:numPr>
      </w:pPr>
      <w:r>
        <w:t xml:space="preserve">A **</w:t>
      </w:r>
      <m:oMath>
        <m:r>
          <m:t>1.4</m:t>
        </m:r>
        <m:r>
          <m:t>B</m:t>
        </m:r>
        <m:r>
          <m:t>a</m:t>
        </m:r>
        <m:r>
          <m:t>c</m:t>
        </m:r>
        <m:r>
          <m:t>t</m:t>
        </m:r>
        <m:r>
          <m:t>i</m:t>
        </m:r>
        <m:r>
          <m:t>v</m:t>
        </m:r>
        <m:r>
          <m:t>e</m:t>
        </m:r>
        <m:r>
          <m:t>a</m:t>
        </m:r>
        <m:r>
          <m:t>c</m:t>
        </m:r>
        <m:r>
          <m:t>q</m:t>
        </m:r>
        <m:r>
          <m:t>u</m:t>
        </m:r>
        <m:r>
          <m:t>i</m:t>
        </m:r>
        <m:r>
          <m:t>s</m:t>
        </m:r>
        <m:r>
          <m:t>i</m:t>
        </m:r>
        <m:r>
          <m:t>t</m:t>
        </m:r>
        <m:r>
          <m:t>i</m:t>
        </m:r>
        <m:r>
          <m:t>o</m:t>
        </m:r>
        <m:r>
          <m:t>n</m:t>
        </m:r>
        <m:r>
          <m:t>p</m:t>
        </m:r>
        <m:r>
          <m:t>i</m:t>
        </m:r>
        <m:r>
          <m:t>p</m:t>
        </m:r>
        <m:r>
          <m:t>e</m:t>
        </m:r>
        <m:r>
          <m:t>l</m:t>
        </m:r>
        <m:r>
          <m:t>i</m:t>
        </m:r>
        <m:r>
          <m:t>n</m:t>
        </m:r>
        <m:r>
          <m:t>e</m:t>
        </m:r>
        <m:r>
          <m:rPr>
            <m:sty m:val="p"/>
          </m:rPr>
          <m:t>*</m:t>
        </m:r>
        <m:r>
          <m:rPr>
            <m:sty m:val="p"/>
          </m:rPr>
          <m:t>*</m:t>
        </m:r>
        <m:r>
          <m:rPr>
            <m:sty m:val="p"/>
          </m:rPr>
          <m:t>(</m:t>
        </m:r>
        <m:r>
          <m:t>30</m:t>
        </m:r>
      </m:oMath>
      <w:r>
        <w:t xml:space="preserve">440M/yr 5-year acquisition average.</w:t>
      </w:r>
    </w:p>
    <w:p>
      <w:pPr>
        <w:pStyle w:val="Compact"/>
        <w:numPr>
          <w:ilvl w:val="0"/>
          <w:numId w:val="1001"/>
        </w:numPr>
      </w:pPr>
      <w:r>
        <w:t xml:space="preserve">On Q1 they hinted a</w:t>
      </w:r>
      <w:r>
        <w:t xml:space="preserve"> </w:t>
      </w:r>
      <w:r>
        <w:rPr>
          <w:b/>
          <w:bCs/>
        </w:rPr>
        <w:t xml:space="preserve">new shopping-center disposition</w:t>
      </w:r>
      <w:r>
        <w:t xml:space="preserve"> </w:t>
      </w:r>
      <w:r>
        <w:t xml:space="preserve">would be announced "over the next few weeks," and management said "we hope to have 2 more acquisitions of size completed by year-end."</w:t>
      </w:r>
    </w:p>
    <w:p>
      <w:pPr>
        <w:pStyle w:val="FirstParagraph"/>
      </w:pPr>
      <w:r>
        <w:rPr>
          <w:b/>
          <w:bCs/>
        </w:rPr>
        <w:t xml:space="preserve">Watch for:</w:t>
      </w:r>
      <w:r>
        <w:t xml:space="preserve"> </w:t>
      </w:r>
      <w:r>
        <w:t xml:space="preserve">any newly announced acquisitions/dispositions, updated cap-rate spreads, and whether they match dispositions to shelter gains via 1031. Deployment is the most likely source of the next guidance bump. Also listen for any hint of a</w:t>
      </w:r>
      <w:r>
        <w:t xml:space="preserve"> </w:t>
      </w:r>
      <w:r>
        <w:rPr>
          <w:b/>
          <w:bCs/>
        </w:rPr>
        <w:t xml:space="preserve">stock buyback</w:t>
      </w:r>
      <w:r>
        <w:t xml:space="preserve"> </w:t>
      </w:r>
      <w:r>
        <w:t xml:space="preserve">— Don Wood pointedly said at Investor Day that if disposition capital exceeds acquisition opportunities, "you'll see stock buybacks," given they believe shares (implied ~6.4% cap rate at ~$115) are undervalued.</w:t>
      </w:r>
    </w:p>
    <w:bookmarkEnd w:id="13"/>
    <w:bookmarkStart w:id="14" w:name="X3d64e06c0ab8110510cd0c989af6231290e49a1"/>
    <w:p>
      <w:pPr>
        <w:pStyle w:val="Heading3"/>
      </w:pPr>
      <w:r>
        <w:t xml:space="preserve">3. Leasing volume, spreads, and the SNO pipeline</w:t>
      </w:r>
    </w:p>
    <w:p>
      <w:pPr>
        <w:pStyle w:val="FirstParagraph"/>
      </w:pPr>
      <w:r>
        <w:t xml:space="preserve">Q1 leasing was a first-quarter record: 100+ comparable deals, 649K sq ft at</w:t>
      </w:r>
      <w:r>
        <w:t xml:space="preserve"> </w:t>
      </w:r>
      <w:r>
        <w:rPr>
          <w:b/>
          <w:bCs/>
        </w:rPr>
        <w:t xml:space="preserve">+13% cash / +23% straight-line</w:t>
      </w:r>
      <w:r>
        <w:t xml:space="preserve"> </w:t>
      </w:r>
      <w:r>
        <w:t xml:space="preserve">rollover, TTM rollover 16%. There's an</w:t>
      </w:r>
      <w:r>
        <w:t xml:space="preserve"> </w:t>
      </w:r>
      <w:r>
        <w:rPr>
          <w:b/>
          <w:bCs/>
        </w:rPr>
        <w:t xml:space="preserve">executed-but-not-occupied (SNO) pipeline worth ~$36M of incremental rent</w:t>
      </w:r>
      <w:r>
        <w:t xml:space="preserve"> </w:t>
      </w:r>
      <w:r>
        <w:t xml:space="preserve">landing over the balance of 2026 into 2027, plus a</w:t>
      </w:r>
      <w:r>
        <w:t xml:space="preserve"> </w:t>
      </w:r>
      <w:r>
        <w:rPr>
          <w:b/>
          <w:bCs/>
        </w:rPr>
        <w:t xml:space="preserve">1.7M+ sq ft pipeline</w:t>
      </w:r>
      <w:r>
        <w:t xml:space="preserve"> </w:t>
      </w:r>
      <w:r>
        <w:t xml:space="preserve">under negotiation. Any deceleration in spreads or the SNO backlog would matter, but the demand backdrop (supply-constrained, affluent trade areas, K-shaped "top of the K") has been consistently strong.</w:t>
      </w:r>
    </w:p>
    <w:bookmarkEnd w:id="14"/>
    <w:bookmarkStart w:id="15" w:name="Xe7de0aa53b12f397493bdd82a08dfc3c8b5b7ae"/>
    <w:p>
      <w:pPr>
        <w:pStyle w:val="Heading3"/>
      </w:pPr>
      <w:r>
        <w:t xml:space="preserve">4. Occupancy</w:t>
      </w:r>
    </w:p>
    <w:p>
      <w:pPr>
        <w:pStyle w:val="FirstParagraph"/>
      </w:pPr>
      <w:r>
        <w:t xml:space="preserve">Q1 ended at</w:t>
      </w:r>
      <w:r>
        <w:t xml:space="preserve"> </w:t>
      </w:r>
      <w:r>
        <w:rPr>
          <w:b/>
          <w:bCs/>
        </w:rPr>
        <w:t xml:space="preserve">96.1% leased / 93.8% occupied</w:t>
      </w:r>
      <w:r>
        <w:t xml:space="preserve">. Management held occupancy</w:t>
      </w:r>
      <w:r>
        <w:t xml:space="preserve"> </w:t>
      </w:r>
      <w:r>
        <w:rPr>
          <w:i/>
          <w:iCs/>
        </w:rPr>
        <w:t xml:space="preserve">better</w:t>
      </w:r>
      <w:r>
        <w:t xml:space="preserve"> </w:t>
      </w:r>
      <w:r>
        <w:t xml:space="preserve">than the low-93% they'd feared. The signed-but-not-commenced pipeline is the bridge to mid/upper-94% by year-end. Watch the leased-to-occupied spread — it's stored earnings.</w:t>
      </w:r>
    </w:p>
    <w:bookmarkEnd w:id="15"/>
    <w:bookmarkStart w:id="16" w:name="X4ca6a5d6291cdb367c4c764cd8107a82ab0f3b3"/>
    <w:p>
      <w:pPr>
        <w:pStyle w:val="Heading3"/>
      </w:pPr>
      <w:r>
        <w:t xml:space="preserve">5. The dividend (a likely near-term catalyst)</w:t>
      </w:r>
    </w:p>
    <w:p>
      <w:pPr>
        <w:pStyle w:val="FirstParagraph"/>
      </w:pPr>
      <w:r>
        <w:t xml:space="preserve">FRT is the</w:t>
      </w:r>
      <w:r>
        <w:t xml:space="preserve"> </w:t>
      </w:r>
      <w:r>
        <w:rPr>
          <w:b/>
          <w:bCs/>
        </w:rPr>
        <w:t xml:space="preserve">only REIT "Dividend King"</w:t>
      </w:r>
      <w:r>
        <w:t xml:space="preserve"> </w:t>
      </w:r>
      <w:r>
        <w:t xml:space="preserve">— 58 consecutive years of increases (raised to $1.13/qtr = $4.52 annualized in August 2025). The board historically declares the annual increase around the</w:t>
      </w:r>
      <w:r>
        <w:t xml:space="preserve"> </w:t>
      </w:r>
      <w:r>
        <w:rPr>
          <w:b/>
          <w:bCs/>
        </w:rPr>
        <w:t xml:space="preserve">late-July/August window</w:t>
      </w:r>
      <w:r>
        <w:t xml:space="preserve">, so a</w:t>
      </w:r>
      <w:r>
        <w:t xml:space="preserve"> </w:t>
      </w:r>
      <w:r>
        <w:rPr>
          <w:b/>
          <w:bCs/>
        </w:rPr>
        <w:t xml:space="preserve">59th consecutive hike</w:t>
      </w:r>
      <w:r>
        <w:t xml:space="preserve"> </w:t>
      </w:r>
      <w:r>
        <w:t xml:space="preserve">could accompany or immediately follow this print. Management signaled increases "in the 60s" (cents range) over coming years.</w:t>
      </w:r>
    </w:p>
    <w:bookmarkEnd w:id="16"/>
    <w:bookmarkStart w:id="17" w:name="X6d48a7f58a2cb5fc7904d46b8baa8f90d10cba3"/>
    <w:p>
      <w:pPr>
        <w:pStyle w:val="Heading3"/>
      </w:pPr>
      <w:r>
        <w:t xml:space="preserve">6. Balance sheet / rate headwind</w:t>
      </w:r>
    </w:p>
    <w:p>
      <w:pPr>
        <w:pStyle w:val="FirstParagraph"/>
      </w:pPr>
      <w:r>
        <w:t xml:space="preserve">Net debt/EBITDA was</w:t>
      </w:r>
      <w:r>
        <w:t xml:space="preserve"> </w:t>
      </w:r>
      <w:r>
        <w:rPr>
          <w:b/>
          <w:bCs/>
        </w:rPr>
        <w:t xml:space="preserve">5.5x</w:t>
      </w:r>
      <w:r>
        <w:t xml:space="preserve"> </w:t>
      </w:r>
      <w:r>
        <w:t xml:space="preserve">(heading toward low-5s), fixed-charge coverage 3.9x (targeting &gt;4x). They already refinanced the 1.25% notes at ~4.5%, embedding a **~175 bps refinancing headwind** into 2026 — without which midpoint growth would top 8%. With rates having drifted around, listen for updated commentary on the 2027–2028 maturity wall (~$1.2–1.3B at ~4% in place) and any convert/bond issuance plans.</w:t>
      </w:r>
    </w:p>
    <w:p>
      <w:r>
        <w:pict>
          <v:rect style="width:0;height:1.5pt" o:hralign="center" o:hrstd="t" o:hr="t"/>
        </w:pict>
      </w:r>
    </w:p>
    <w:bookmarkEnd w:id="17"/>
    <w:bookmarkEnd w:id="18"/>
    <w:bookmarkStart w:id="19" w:name="X3a5344ffa89ba87bc47c427dcdae08089e40980"/>
    <w:p>
      <w:pPr>
        <w:pStyle w:val="Heading2"/>
      </w:pPr>
      <w:r>
        <w:t xml:space="preserve">The bigger picture (from the May 21 Investor Day)</w:t>
      </w:r>
    </w:p>
    <w:p>
      <w:pPr>
        <w:pStyle w:val="FirstParagraph"/>
      </w:pPr>
      <w:r>
        <w:t xml:space="preserve">Management framed FRT as entering its</w:t>
      </w:r>
      <w:r>
        <w:t xml:space="preserve"> </w:t>
      </w:r>
      <w:r>
        <w:rPr>
          <w:b/>
          <w:bCs/>
        </w:rPr>
        <w:t xml:space="preserve">"next wave"</w:t>
      </w:r>
      <w:r>
        <w:t xml:space="preserve"> </w:t>
      </w:r>
      <w:r>
        <w:t xml:space="preserve">— comparing today to the 2004–08 and 2012–16 periods when FFO compounded &gt;7%. The building-block algorithm they gave for 2027–2028:</w:t>
      </w:r>
    </w:p>
    <w:p>
      <w:pPr>
        <w:pStyle w:val="Compact"/>
        <w:numPr>
          <w:ilvl w:val="0"/>
          <w:numId w:val="1002"/>
        </w:numPr>
      </w:pPr>
      <w:r>
        <w:t xml:space="preserve">Comparable growth → ~4–5% of FFO growth</w:t>
      </w:r>
    </w:p>
    <w:p>
      <w:pPr>
        <w:pStyle w:val="Compact"/>
        <w:numPr>
          <w:ilvl w:val="0"/>
          <w:numId w:val="1002"/>
        </w:numPr>
      </w:pPr>
      <w:r>
        <w:t xml:space="preserve">Development/redevelopment → ~1.25–1.75%</w:t>
      </w:r>
    </w:p>
    <w:p>
      <w:pPr>
        <w:pStyle w:val="Compact"/>
        <w:numPr>
          <w:ilvl w:val="0"/>
          <w:numId w:val="1002"/>
        </w:numPr>
      </w:pPr>
      <w:r>
        <w:t xml:space="preserve">Capital recycling → ~1–1.5%</w:t>
      </w:r>
    </w:p>
    <w:p>
      <w:pPr>
        <w:pStyle w:val="Compact"/>
        <w:numPr>
          <w:ilvl w:val="0"/>
          <w:numId w:val="1002"/>
        </w:numPr>
      </w:pPr>
      <w:r>
        <w:t xml:space="preserve">Less financing headwind (~75–125 bps)</w:t>
      </w:r>
    </w:p>
    <w:p>
      <w:pPr>
        <w:pStyle w:val="Compact"/>
        <w:numPr>
          <w:ilvl w:val="0"/>
          <w:numId w:val="1002"/>
        </w:numPr>
      </w:pPr>
      <w:r>
        <w:rPr>
          <w:b/>
          <w:bCs/>
        </w:rPr>
        <w:t xml:space="preserve">Net: 5%–7.5% FFO growth, 7%–10% AFFO growth</w:t>
      </w:r>
      <w:r>
        <w:t xml:space="preserve"> </w:t>
      </w:r>
      <w:r>
        <w:t xml:space="preserve">(AFFO growing faster as straight-line rent converts to cash as Santana West/915 Meeting office burns off free rent).</w:t>
      </w:r>
    </w:p>
    <w:p>
      <w:pPr>
        <w:pStyle w:val="Compact"/>
        <w:numPr>
          <w:ilvl w:val="0"/>
          <w:numId w:val="1002"/>
        </w:numPr>
      </w:pPr>
      <w:r>
        <w:t xml:space="preserve">Free cash flow after dividend/maintenance capex: &gt;</w:t>
      </w:r>
      <m:oMath>
        <m:r>
          <m:t>100</m:t>
        </m:r>
        <m:r>
          <m:t>M</m:t>
        </m:r>
        <m:r>
          <m:t>i</m:t>
        </m:r>
        <m:r>
          <m:t>n</m:t>
        </m:r>
        <m:r>
          <m:t>2026</m:t>
        </m:r>
        <m:r>
          <m:rPr>
            <m:sty m:val="p"/>
          </m:rPr>
          <m:t>,</m:t>
        </m:r>
        <m:r>
          <m:t> </m:t>
        </m:r>
      </m:oMath>
      <w:r>
        <w:t xml:space="preserve">150M by 2028.</w:t>
      </w:r>
    </w:p>
    <w:p>
      <w:pPr>
        <w:pStyle w:val="FirstParagraph"/>
      </w:pPr>
      <w:r>
        <w:t xml:space="preserve">Also note the</w:t>
      </w:r>
      <w:r>
        <w:t xml:space="preserve"> </w:t>
      </w:r>
      <w:r>
        <w:rPr>
          <w:b/>
          <w:bCs/>
        </w:rPr>
        <w:t xml:space="preserve">CEO succession</w:t>
      </w:r>
      <w:r>
        <w:t xml:space="preserve"> </w:t>
      </w:r>
      <w:r>
        <w:t xml:space="preserve">overhang: Don Wood (28 years) said a recruiter/search process will begin "in the not-too-distant future" — not imminent, but a governance item worth monitoring.</w:t>
      </w:r>
    </w:p>
    <w:p>
      <w:r>
        <w:pict>
          <v:rect style="width:0;height:1.5pt" o:hralign="center" o:hrstd="t" o:hr="t"/>
        </w:pict>
      </w:r>
    </w:p>
    <w:bookmarkEnd w:id="19"/>
    <w:bookmarkStart w:id="20" w:name="bottom-line--how-to-trade-the-print"/>
    <w:p>
      <w:pPr>
        <w:pStyle w:val="Heading2"/>
      </w:pPr>
      <w:r>
        <w:t xml:space="preserve">Bottom line / how to trade the print</w:t>
      </w:r>
    </w:p>
    <w:p>
      <w:pPr>
        <w:pStyle w:val="Compact"/>
        <w:numPr>
          <w:ilvl w:val="0"/>
          <w:numId w:val="1003"/>
        </w:numPr>
      </w:pPr>
      <w:r>
        <w:rPr>
          <w:b/>
          <w:bCs/>
        </w:rPr>
        <w:t xml:space="preserve">Stock:</w:t>
      </w:r>
      <w:r>
        <w:t xml:space="preserve"> </w:t>
      </w:r>
      <w:r>
        <w:t xml:space="preserve">~</w:t>
      </w:r>
      <m:oMath>
        <m:r>
          <m:t>124</m:t>
        </m:r>
        <m:r>
          <m:rPr>
            <m:sty m:val="p"/>
          </m:rPr>
          <m:t>(</m:t>
        </m:r>
        <m:r>
          <m:t>7</m:t>
        </m:r>
        <m:r>
          <m:rPr>
            <m:sty m:val="p"/>
          </m:rPr>
          <m:t>/</m:t>
        </m:r>
        <m:r>
          <m:t>30</m:t>
        </m:r>
        <m:r>
          <m:t>c</m:t>
        </m:r>
        <m:r>
          <m:t>l</m:t>
        </m:r>
        <m:r>
          <m:t>o</m:t>
        </m:r>
        <m:r>
          <m:t>s</m:t>
        </m:r>
        <m:r>
          <m:t>e</m:t>
        </m:r>
        <m:r>
          <m:rPr>
            <m:sty m:val="p"/>
          </m:rPr>
          <m:t>)</m:t>
        </m:r>
        <m:r>
          <m:rPr>
            <m:sty m:val="p"/>
          </m:rPr>
          <m:t>,</m:t>
        </m:r>
        <m:r>
          <m:t>u</m:t>
        </m:r>
        <m:r>
          <m:t>p</m:t>
        </m:r>
        <m:r>
          <m:t>f</m:t>
        </m:r>
        <m:r>
          <m:t>r</m:t>
        </m:r>
        <m:r>
          <m:t>o</m:t>
        </m:r>
        <m:r>
          <m:t>m</m:t>
        </m:r>
        <m:r>
          <m:t> </m:t>
        </m:r>
      </m:oMath>
      <w:r>
        <w:t xml:space="preserve">106 in early April, near 52-week highs; ~16.5x forward FFO. Expectations are elevated after the Q1 beat and the well-received Investor Day.</w:t>
      </w:r>
    </w:p>
    <w:p>
      <w:pPr>
        <w:pStyle w:val="Compact"/>
        <w:numPr>
          <w:ilvl w:val="0"/>
          <w:numId w:val="1003"/>
        </w:numPr>
      </w:pPr>
      <w:r>
        <w:rPr>
          <w:b/>
          <w:bCs/>
        </w:rPr>
        <w:t xml:space="preserve">Base case:</w:t>
      </w:r>
      <w:r>
        <w:t xml:space="preserve"> </w:t>
      </w:r>
      <w:r>
        <w:t xml:space="preserve">In-line to small beat on the</w:t>
      </w:r>
      <w:r>
        <w:t xml:space="preserve"> </w:t>
      </w:r>
      <m:oMath>
        <m:r>
          <m:t>1.83</m:t>
        </m:r>
        <m:r>
          <m:rPr>
            <m:sty m:val="p"/>
          </m:rPr>
          <m:t>–</m:t>
        </m:r>
      </m:oMath>
      <w:r>
        <w:t xml:space="preserve">1.86 Q2 guide, another modest full-year raise likely tied to capital deployment, continued strong leasing.</w:t>
      </w:r>
    </w:p>
    <w:p>
      <w:pPr>
        <w:pStyle w:val="Compact"/>
        <w:numPr>
          <w:ilvl w:val="0"/>
          <w:numId w:val="1003"/>
        </w:numPr>
      </w:pPr>
      <w:r>
        <w:rPr>
          <w:b/>
          <w:bCs/>
        </w:rPr>
        <w:t xml:space="preserve">Bull case:</w:t>
      </w:r>
      <w:r>
        <w:t xml:space="preserve"> </w:t>
      </w:r>
      <w:r>
        <w:t xml:space="preserve">Beat + guidance raise + one or more announced accretive acquisitions (new-market "of size") and/or a dividend increase → reinforces the "next wave" narrative.</w:t>
      </w:r>
    </w:p>
    <w:p>
      <w:pPr>
        <w:pStyle w:val="Compact"/>
        <w:numPr>
          <w:ilvl w:val="0"/>
          <w:numId w:val="1003"/>
        </w:numPr>
      </w:pPr>
      <w:r>
        <w:rPr>
          <w:b/>
          <w:bCs/>
        </w:rPr>
        <w:t xml:space="preserve">Watch-outs / de-rating risks:</w:t>
      </w:r>
      <w:r>
        <w:t xml:space="preserve"> </w:t>
      </w:r>
      <w:r>
        <w:t xml:space="preserve">(1) The optically lower YoY headline vs last year's $1.91 (tax-credit noise) being misread; (2) same-store growth decelerating "into the 2s" as guided — make sure the market remembers this is seasonal/back-half-loaded; (3) any softening in acquisition-disposition spreads as retail cap rates compress with more core capital competing; (4) rising rates pressuring the refi outlook.</w:t>
      </w:r>
    </w:p>
    <w:p>
      <w:pPr>
        <w:pStyle w:val="FirstParagraph"/>
      </w:pPr>
      <w:r>
        <w:t xml:space="preserve">The setup rewards execution on</w:t>
      </w:r>
      <w:r>
        <w:t xml:space="preserve"> </w:t>
      </w:r>
      <w:r>
        <w:rPr>
          <w:b/>
          <w:bCs/>
        </w:rPr>
        <w:t xml:space="preserve">capital recycling</w:t>
      </w:r>
      <w:r>
        <w:t xml:space="preserve"> </w:t>
      </w:r>
      <w:r>
        <w:t xml:space="preserve">above all — that's where the incremental guidance raise and the multi-year growth story either get validated or stall.</w:t>
      </w:r>
    </w:p>
    <w:p>
      <w:r>
        <w:pict>
          <v:rect style="width:0;height:1.5pt" o:hralign="center" o:hrstd="t" o:hr="t"/>
        </w:pict>
      </w:r>
    </w:p>
    <w:p>
      <w:pPr>
        <w:pStyle w:val="FirstParagraph"/>
      </w:pPr>
      <w:r>
        <w:rPr>
          <w:i/>
          <w:iCs/>
        </w:rPr>
        <w:t xml:space="preserve">Sources: FRT Q1 2026 and Q2 2025 earnings call transcripts; FRT May 21, 2026 Investor Day transcript; historical stock prices. Figures are management guidance/actuals as stated on those calls.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2026-07-31T00:12:26Z</dcterms:created>
  <dcterms:modified xsi:type="dcterms:W3CDTF">2026-07-31T00:12:26Z</dcterms:modified>
</cp:coreProperties>
</file>

<file path=docProps/custom.xml><?xml version="1.0" encoding="utf-8"?>
<Properties xmlns="http://schemas.openxmlformats.org/officeDocument/2006/custom-properties" xmlns:vt="http://schemas.openxmlformats.org/officeDocument/2006/docPropsVTypes"/>
</file>