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rt-earnings-predictions--2026-07-31"/>
    <w:p>
      <w:pPr>
        <w:pStyle w:val="Heading1"/>
      </w:pPr>
      <w:r>
        <w:t xml:space="preserve">FRT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~$1.87 vs. cons $1.85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POI/Cash NOI growth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~2.3% vs. cons ~2.5%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Portfolio leased %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~96.4% vs. cons ~96.1%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FFO/share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7.50</m:t>
              </m:r>
              <m:r>
                <m:rPr>
                  <m:sty m:val="p"/>
                </m:rPr>
                <m:t>−</m:t>
              </m:r>
            </m:oMath>
            <w:r>
              <w:t xml:space="preserve">7.58 (mid $7.54) vs. cons $7.53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FFO/share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1.84</m:t>
              </m:r>
              <m:r>
                <m:rPr>
                  <m:sty m:val="p"/>
                </m:rPr>
                <m:t>−</m:t>
              </m:r>
            </m:oMath>
            <w:r>
              <w:t xml:space="preserve">1.87 (mid $1.855) vs. cons $1.855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Q4'26 comparable NOI growth reacceleration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~3.5%-4.0% vs. cons ~3.7% (Q4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-0.6% (FADE)</w:t>
            </w:r>
          </w:p>
        </w:tc>
        <w:tc>
          <w:tcPr/>
          <w:p>
            <w:pPr>
              <w:pStyle w:val="Compact"/>
            </w:pPr>
            <w:r>
              <w:t xml:space="preserve">Stock has already re-rated well above price targets into the print on Investor Day enthusiasm; a modest FFO beat and only incremental full-year guidance raise is largely priced in, while the flagged Q2/Q3 dip in comparable NOI growth into the 'low-2s' and the known 175bps refinancing drag give bears room to argue out-period estimates get trimmed even after a headline beat, prompting profit-taking and fade over the following days.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2026-07-31T00:13:44Z</dcterms:created>
  <dcterms:modified xsi:type="dcterms:W3CDTF">2026-07-31T00:13:44Z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