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8" w:name="X75fe50008671174636e3d31a5ff8494ef4f5c4a"/>
    <w:p>
      <w:pPr>
        <w:pStyle w:val="Heading1"/>
      </w:pPr>
      <w:r>
        <w:t xml:space="preserve">Federal Realty Investment Trust (FRT) — Q2 2026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Friday, July 31, 2026, before market open; conference call 9:00 AM ET</w:t>
      </w:r>
    </w:p>
    <w:p>
      <w:r>
        <w:pict>
          <v:rect style="width:0;height:1.5pt" o:hralign="center" o:hrstd="t" o:hr="t"/>
        </w:pict>
      </w:r>
    </w:p>
    <w:bookmarkStart w:id="9" w:name="setup-into-the-print"/>
    <w:p>
      <w:pPr>
        <w:pStyle w:val="Heading2"/>
      </w:pPr>
      <w:r>
        <w:t xml:space="preserve">Setup Into the Print</w:t>
      </w:r>
    </w:p>
    <w:p>
      <w:pPr>
        <w:pStyle w:val="FirstParagraph"/>
      </w:pPr>
      <w:r>
        <w:t xml:space="preserve">FRT enters tomorrow's report on a strong run. The stock has climbed from roughly $115 on May 1 to around $124–127 in late July, a run that included a well-received Investor Day on May 21 at Santana Row where management laid out a multi-year "outsized growth" thesis. Shares are trading near/above several sell-side price targets (e.g., Truist's $118), suggesting the bar for a re-rating higher may now be more demanding.</w:t>
      </w:r>
    </w:p>
    <w:p>
      <w:pPr>
        <w:pStyle w:val="BodyText"/>
      </w:pPr>
      <w:r>
        <w:t xml:space="preserve">Wall Street consensus for Q2 2026 sits at roughly</w:t>
      </w:r>
      <w:r>
        <w:t xml:space="preserve"> </w:t>
      </w:r>
      <m:oMath>
        <m:r>
          <m:t>1.85</m:t>
        </m:r>
        <m:r>
          <m:t>F</m:t>
        </m:r>
        <m:r>
          <m:t>F</m:t>
        </m:r>
        <m:r>
          <m:t>O</m:t>
        </m:r>
        <m:r>
          <m:t>p</m:t>
        </m:r>
        <m:r>
          <m:t>e</m:t>
        </m:r>
        <m:r>
          <m:t>r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w</m:t>
        </m:r>
        <m:r>
          <m:t>i</m:t>
        </m:r>
        <m:r>
          <m:t>t</m:t>
        </m:r>
        <m:r>
          <m:t>h</m:t>
        </m:r>
        <m:r>
          <m:t>i</m:t>
        </m:r>
        <m:r>
          <m:t>n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sSup>
          <m:e>
            <m:r>
              <m:t>t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o</m:t>
        </m:r>
        <m:r>
          <m:t>w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1.83–</w:t>
      </w:r>
      <m:oMath>
        <m:r>
          <m:t>1.86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g</m:t>
        </m:r>
        <m:r>
          <m:t>u</m:t>
        </m:r>
        <m:r>
          <m:t>i</m:t>
        </m:r>
        <m:r>
          <m:t>d</m:t>
        </m:r>
        <m:r>
          <m:t>e</m:t>
        </m:r>
        <m:r>
          <m:t>d</m:t>
        </m:r>
        <m:r>
          <m:t>r</m:t>
        </m:r>
        <m:r>
          <m:t>a</m:t>
        </m:r>
        <m:r>
          <m:t>n</m:t>
        </m:r>
        <m:r>
          <m:t>g</m:t>
        </m:r>
        <m:r>
          <m:t>e</m:t>
        </m:r>
        <m:r>
          <m:rPr>
            <m:sty m:val="p"/>
          </m:rPr>
          <m:t>)</m:t>
        </m:r>
        <m:r>
          <m:t>o</m:t>
        </m:r>
        <m:r>
          <m:t>n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t>o</m:t>
        </m:r>
        <m:r>
          <m:t>f</m:t>
        </m:r>
        <m:r>
          <m:t>a</m:t>
        </m:r>
        <m:r>
          <m:t>b</m:t>
        </m:r>
        <m:r>
          <m:t>o</m:t>
        </m:r>
        <m:r>
          <m:t>u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332 million</w:t>
      </w:r>
      <w:r>
        <w:t xml:space="preserve">. Reported headline-to-headline, that consensus figure is</w:t>
      </w:r>
      <w:r>
        <w:t xml:space="preserve"> </w:t>
      </w:r>
      <w:r>
        <w:rPr>
          <w:i/>
          <w:iCs/>
        </w:rPr>
        <w:t xml:space="preserve">down</w:t>
      </w:r>
      <w:r>
        <w:t xml:space="preserve"> </w:t>
      </w:r>
      <w:r>
        <w:t xml:space="preserve">about 3% from</w:t>
      </w:r>
      <w:r>
        <w:t xml:space="preserve"> </w:t>
      </w:r>
      <w:r>
        <w:rPr>
          <w:b/>
          <w:bCs/>
        </w:rPr>
        <w:t xml:space="preserve">$1.91</w:t>
      </w:r>
      <w:r>
        <w:t xml:space="preserve"> </w:t>
      </w:r>
      <w:r>
        <w:t xml:space="preserve">a year ago — but investors should understand why before reacting to any apparent "miss" versus last year:</w:t>
      </w:r>
    </w:p>
    <w:p>
      <w:pPr>
        <w:pStyle w:val="Compact"/>
        <w:numPr>
          <w:ilvl w:val="0"/>
          <w:numId w:val="1001"/>
        </w:numPr>
      </w:pPr>
      <w:r>
        <w:t xml:space="preserve">FRT's Q2 2025 FFO of $1.91 per diluted share benefited from $14.2 million of one-time income from the sale of New Market Tax Credits related to Freedom Plaza, a benefit that will not repeat in Q2 2026. Stripping that out, the underlying comparison is far more favorable, consistent with the double-digit growth trajectory the company has shown in recent quarters.</w:t>
      </w:r>
    </w:p>
    <w:p>
      <w:r>
        <w:pict>
          <v:rect style="width:0;height:1.5pt" o:hralign="center" o:hrstd="t" o:hr="t"/>
        </w:pict>
      </w:r>
    </w:p>
    <w:bookmarkEnd w:id="9"/>
    <w:bookmarkStart w:id="10" w:name="what-drove-the-setup-q1-2026-recap"/>
    <w:p>
      <w:pPr>
        <w:pStyle w:val="Heading2"/>
      </w:pPr>
      <w:r>
        <w:t xml:space="preserve">What Drove the Setup: Q1 2026 Recap</w:t>
      </w:r>
    </w:p>
    <w:p>
      <w:pPr>
        <w:pStyle w:val="FirstParagraph"/>
      </w:pPr>
      <w:r>
        <w:t xml:space="preserve">Q1 2026 (reported May 1) was a blowout that reset the growth narrative:</w:t>
      </w:r>
    </w:p>
    <w:p>
      <w:pPr>
        <w:pStyle w:val="Compact"/>
        <w:numPr>
          <w:ilvl w:val="0"/>
          <w:numId w:val="1002"/>
        </w:numPr>
      </w:pPr>
      <w:r>
        <w:t xml:space="preserve">FFO per share of $1.88 beat a year ago's quarter by 10.6%, and management pointed to stepped-up capital recycling, strong incremental cash flow from leasing, and early contributions from development spend.</w:t>
      </w:r>
    </w:p>
    <w:p>
      <w:pPr>
        <w:pStyle w:val="Compact"/>
        <w:numPr>
          <w:ilvl w:val="0"/>
          <w:numId w:val="1002"/>
        </w:numPr>
      </w:pPr>
      <w:r>
        <w:t xml:space="preserve">This result came in $0.06, or 3.6%, above the midpoint of guidance, with drivers including higher revenue from occupancy/parking/ancillary income, expense efficiencies, higher-than-forecast term fees, and some favorable timing.</w:t>
      </w:r>
    </w:p>
    <w:p>
      <w:pPr>
        <w:pStyle w:val="Compact"/>
        <w:numPr>
          <w:ilvl w:val="0"/>
          <w:numId w:val="1002"/>
        </w:numPr>
      </w:pPr>
      <w:r>
        <w:t xml:space="preserve">The company signed leases for over 100 comparable deals totaling 649,000 square feet at 13% cash rollover / 23% straight-line — the most first-quarter volume ever leased and third-best of any quarter, including 13 anchor deals at 13% cash / 21% straight-line rollover.</w:t>
      </w:r>
    </w:p>
    <w:p>
      <w:pPr>
        <w:pStyle w:val="Compact"/>
        <w:numPr>
          <w:ilvl w:val="0"/>
          <w:numId w:val="1002"/>
        </w:numPr>
      </w:pPr>
      <w:r>
        <w:t xml:space="preserve">Lease termination fees were up $2.8 million year over year while higher snow removal and energy costs (net of recoveries) from an unusually rough winter added over $2 million of expense; POI still grew 9% even excluding the termination fee benefit.</w:t>
      </w:r>
    </w:p>
    <w:p>
      <w:pPr>
        <w:pStyle w:val="Compact"/>
        <w:numPr>
          <w:ilvl w:val="0"/>
          <w:numId w:val="1002"/>
        </w:numPr>
      </w:pPr>
      <w:r>
        <w:t xml:space="preserve">The portfolio ended the quarter 96.1% leased and 93.8% occupied, about 40 basis points higher excluding newly acquired centers.</w:t>
      </w:r>
    </w:p>
    <w:p>
      <w:pPr>
        <w:pStyle w:val="Compact"/>
        <w:numPr>
          <w:ilvl w:val="0"/>
          <w:numId w:val="1002"/>
        </w:numPr>
      </w:pPr>
      <w:r>
        <w:t xml:space="preserve">Following the beat, FRT raised full-year 2026 NAREIT and core FFO guidance to</w:t>
      </w:r>
      <w:r>
        <w:t xml:space="preserve"> </w:t>
      </w:r>
      <m:oMath>
        <m:r>
          <m:t>7.46</m:t>
        </m:r>
        <m:r>
          <m:rPr>
            <m:sty m:val="p"/>
          </m:rPr>
          <m:t>–</m:t>
        </m:r>
      </m:oMath>
      <w:r>
        <w:t xml:space="preserve">7.55 per share, representing 6.3% growth at the midpoint versus 2025.</w:t>
      </w:r>
    </w:p>
    <w:bookmarkEnd w:id="10"/>
    <w:bookmarkStart w:id="11" w:name="X2a82bdd23e3be123138c4b68ce784753c1dda55"/>
    <w:p>
      <w:pPr>
        <w:pStyle w:val="Heading2"/>
      </w:pPr>
      <w:r>
        <w:t xml:space="preserve">FY2026 Guidance Cadence — What to Watch For in Q2</w:t>
      </w:r>
    </w:p>
    <w:p>
      <w:pPr>
        <w:pStyle w:val="FirstParagraph"/>
      </w:pPr>
      <w:r>
        <w:t xml:space="preserve">Management gave explicit quarterly signposts on the Q1 call that Q2 results should be measured against:</w:t>
      </w:r>
    </w:p>
    <w:p>
      <w:pPr>
        <w:pStyle w:val="Compact"/>
        <w:numPr>
          <w:ilvl w:val="0"/>
          <w:numId w:val="1003"/>
        </w:numPr>
      </w:pPr>
      <w:r>
        <w:t xml:space="preserve">Second quarter FFO guided at $1.83 to $1.86, third quarter at $1.84 to $1.87, with fourth quarter in the low-to-mid $1.90s per share, primarily driven by contractual occupancy growth.</w:t>
      </w:r>
    </w:p>
    <w:p>
      <w:pPr>
        <w:pStyle w:val="Compact"/>
        <w:numPr>
          <w:ilvl w:val="0"/>
          <w:numId w:val="1003"/>
        </w:numPr>
      </w:pPr>
      <w:r>
        <w:t xml:space="preserve">Management expects occupancy to stay in the mid-to-upper-93% range through the first three quarters before climbing to the mid-to-upper-94% range by year-end, powered by leases already signed.</w:t>
      </w:r>
    </w:p>
    <w:p>
      <w:pPr>
        <w:pStyle w:val="Compact"/>
        <w:numPr>
          <w:ilvl w:val="0"/>
          <w:numId w:val="1003"/>
        </w:numPr>
      </w:pPr>
      <w:r>
        <w:t xml:space="preserve">CFO Dan Guglielmone flagged that comparable growth would dip into the "2s" in Q2/Q3 (roughly 40–50 bps higher on a cash basis) before a resurgence to 3.5%–4% (GAAP) in Q4, tied to leases with October 1 rent-commencement dates.</w:t>
      </w:r>
    </w:p>
    <w:p>
      <w:pPr>
        <w:pStyle w:val="Compact"/>
        <w:numPr>
          <w:ilvl w:val="0"/>
          <w:numId w:val="1003"/>
        </w:numPr>
      </w:pPr>
      <w:r>
        <w:t xml:space="preserve">A known headwind: refinancing of the 1.25% notes represents roughly 175 basis points of drag on FFO growth — without it, midpoint core FFO growth would exceed 8%.</w:t>
      </w:r>
    </w:p>
    <w:p>
      <w:pPr>
        <w:pStyle w:val="FirstParagraph"/>
      </w:pPr>
      <w:r>
        <w:t xml:space="preserve">Investors should watch whether management reiterates or narrows this guidance range, and whether Q2 occupancy/leasing spreads track ahead of the "mid-90s occupancy, low-double-digit cash spread" framework.</w:t>
      </w:r>
    </w:p>
    <w:bookmarkEnd w:id="11"/>
    <w:bookmarkStart w:id="12" w:name="balance-sheet--capital-recycling"/>
    <w:p>
      <w:pPr>
        <w:pStyle w:val="Heading2"/>
      </w:pPr>
      <w:r>
        <w:t xml:space="preserve">Balance Sheet &amp; Capital Recycling</w:t>
      </w:r>
    </w:p>
    <w:p>
      <w:pPr>
        <w:pStyle w:val="FirstParagraph"/>
      </w:pPr>
      <w:r>
        <w:t xml:space="preserve">FRT has been active reshaping its balance sheet and portfolio:</w:t>
      </w:r>
    </w:p>
    <w:p>
      <w:pPr>
        <w:pStyle w:val="Compact"/>
        <w:numPr>
          <w:ilvl w:val="0"/>
          <w:numId w:val="1004"/>
        </w:numPr>
      </w:pPr>
      <w:r>
        <w:t xml:space="preserve">The company closed the recast of its revolving credit facility, increasing it to $1.4 billion, extending the initial term to April 2030 with extension options into 2031, and cutting the spread over SOFR by 5 bps to 72.5 bps, while repaying its 1.25% notes due in February, leaving only $50 million of remaining loan maturities through the balance of 2026.</w:t>
      </w:r>
    </w:p>
    <w:p>
      <w:pPr>
        <w:pStyle w:val="Compact"/>
        <w:numPr>
          <w:ilvl w:val="0"/>
          <w:numId w:val="1004"/>
        </w:numPr>
      </w:pPr>
      <w:r>
        <w:t xml:space="preserve">First-quarter annualized net debt-to-EBITDA was 5.5x, expected to improve over the year, with fixed-charge coverage at 3.9x, expected to eclipse the 4x target by year-end.</w:t>
      </w:r>
    </w:p>
    <w:p>
      <w:pPr>
        <w:pStyle w:val="Compact"/>
        <w:numPr>
          <w:ilvl w:val="0"/>
          <w:numId w:val="1004"/>
        </w:numPr>
      </w:pPr>
      <w:r>
        <w:t xml:space="preserve">Capital recycling remains a core growth lever: 2025 and expected 2026 asset sales stand at a total of $540 million with a blended cash yield in the low-to-mid-5% range — a very attractive cost of capital, reinvested into acquisitions like Congressional North Shopping Center at a 7% stabilized yield.</w:t>
      </w:r>
    </w:p>
    <w:p>
      <w:pPr>
        <w:pStyle w:val="Compact"/>
        <w:numPr>
          <w:ilvl w:val="0"/>
          <w:numId w:val="1004"/>
        </w:numPr>
      </w:pPr>
      <w:r>
        <w:t xml:space="preserve">At Investor Day, management quantified a **</w:t>
      </w:r>
      <m:oMath>
        <m:r>
          <m:t>1.5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p</m:t>
        </m:r>
        <m:r>
          <m:t>o</m:t>
        </m:r>
        <m:r>
          <m:t>o</m:t>
        </m:r>
        <m:r>
          <m:t>l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f</m:t>
        </m:r>
        <m:r>
          <m:t>m</m:t>
        </m:r>
        <m:r>
          <m:t>a</m:t>
        </m:r>
        <m:r>
          <m:t>t</m:t>
        </m:r>
        <m:r>
          <m:t>u</m:t>
        </m:r>
        <m:r>
          <m:t>r</m:t>
        </m:r>
        <m:r>
          <m:t>e</m:t>
        </m:r>
        <m:r>
          <m:t>a</m:t>
        </m:r>
        <m:r>
          <m:t>s</m:t>
        </m:r>
        <m:r>
          <m:t>s</m:t>
        </m:r>
        <m:r>
          <m:t>e</m:t>
        </m:r>
        <m:r>
          <m:t>t</m:t>
        </m:r>
        <m:r>
          <m:t>s</m:t>
        </m:r>
        <m:r>
          <m:t>r</m:t>
        </m:r>
        <m:r>
          <m:t>e</m:t>
        </m:r>
        <m:r>
          <m:t>a</m:t>
        </m:r>
        <m:r>
          <m:t>d</m:t>
        </m:r>
        <m:r>
          <m:t>y</m:t>
        </m:r>
        <m:r>
          <m:t>f</m:t>
        </m:r>
        <m:r>
          <m:t>o</m:t>
        </m:r>
        <m:r>
          <m:t>r</m:t>
        </m:r>
        <m:r>
          <m:t>d</m:t>
        </m:r>
        <m:r>
          <m:t>i</m:t>
        </m:r>
        <m:r>
          <m:t>s</m:t>
        </m:r>
        <m:r>
          <m:t>p</m:t>
        </m:r>
        <m:r>
          <m:t>o</m:t>
        </m:r>
        <m:r>
          <m:t>s</m:t>
        </m:r>
        <m:r>
          <m:t>i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(</m:t>
        </m:r>
        <m:r>
          <m:t>p</m:t>
        </m:r>
        <m:r>
          <m:t>l</m:t>
        </m:r>
        <m:r>
          <m:t>u</m:t>
        </m:r>
        <m:r>
          <m:t>s</m:t>
        </m:r>
        <m:r>
          <m:t>a</m:t>
        </m:r>
        <m:r>
          <m:t>l</m:t>
        </m:r>
        <m:r>
          <m:t>o</m:t>
        </m:r>
        <m:r>
          <m:t>n</m:t>
        </m:r>
        <m:r>
          <m:t>g</m:t>
        </m:r>
        <m:r>
          <m:t>e</m:t>
        </m:r>
        <m:r>
          <m:t>r</m:t>
        </m:r>
        <m:r>
          <m:rPr>
            <m:sty m:val="p"/>
          </m:rPr>
          <m:t>−</m:t>
        </m:r>
        <m:r>
          <m:t>t</m:t>
        </m:r>
        <m:r>
          <m:t>e</m:t>
        </m:r>
        <m:r>
          <m:t>r</m:t>
        </m:r>
        <m:r>
          <m:t>m</m:t>
        </m:r>
        <m:r>
          <m:t> </m:t>
        </m:r>
      </m:oMath>
      <w:r>
        <w:t xml:space="preserve">2 billion pipeline), targeting a 150–200 bps yield spread versus acquisitions in the 8–9.5%+ range — the engine behind projected FFO growth of</w:t>
      </w:r>
      <w:r>
        <w:t xml:space="preserve"> </w:t>
      </w:r>
      <w:r>
        <w:rPr>
          <w:b/>
          <w:bCs/>
        </w:rPr>
        <w:t xml:space="preserve">5.25%–7.5%</w:t>
      </w:r>
      <w:r>
        <w:t xml:space="preserve"> </w:t>
      </w:r>
      <w:r>
        <w:t xml:space="preserve">in 2027–2028 and</w:t>
      </w:r>
      <w:r>
        <w:t xml:space="preserve"> </w:t>
      </w:r>
      <w:r>
        <w:rPr>
          <w:b/>
          <w:bCs/>
        </w:rPr>
        <w:t xml:space="preserve">AFFO growth of 7%–10%</w:t>
      </w:r>
      <w:r>
        <w:t xml:space="preserve"> </w:t>
      </w:r>
      <w:r>
        <w:t xml:space="preserve">as straight-line rent converts to cash.</w:t>
      </w:r>
    </w:p>
    <w:bookmarkEnd w:id="12"/>
    <w:bookmarkStart w:id="13" w:name="demand-backdrop-the-k-shaped-thesis"/>
    <w:p>
      <w:pPr>
        <w:pStyle w:val="Heading2"/>
      </w:pPr>
      <w:r>
        <w:t xml:space="preserve">Demand Backdrop: The "K-Shaped" Thesis</w:t>
      </w:r>
    </w:p>
    <w:p>
      <w:pPr>
        <w:pStyle w:val="FirstParagraph"/>
      </w:pPr>
      <w:r>
        <w:t xml:space="preserve">Management has leaned heavily into the idea that FRT's affluent, dense trade areas insulate it from consumer softness elsewhere in retail:</w:t>
      </w:r>
    </w:p>
    <w:p>
      <w:pPr>
        <w:pStyle w:val="Compact"/>
        <w:numPr>
          <w:ilvl w:val="0"/>
          <w:numId w:val="1005"/>
        </w:numPr>
      </w:pPr>
      <w:r>
        <w:t xml:space="preserve">COO Wendy Seher noted full-service restaurants in FRT centers averaged $723 per square foot in sales and fast-casual restaurants averaged $873 per square foot — both more than double national averages, with occupancy cost ratios in the 9% range.</w:t>
      </w:r>
    </w:p>
    <w:p>
      <w:pPr>
        <w:pStyle w:val="Compact"/>
        <w:numPr>
          <w:ilvl w:val="0"/>
          <w:numId w:val="1005"/>
        </w:numPr>
      </w:pPr>
      <w:r>
        <w:t xml:space="preserve">Traffic and sales are up, including at full-price/aspirational tenants like Crate &amp; Barrel, Anthropologie, Madewell, and Aritzia — not just value retailers.</w:t>
      </w:r>
    </w:p>
    <w:p>
      <w:pPr>
        <w:pStyle w:val="Compact"/>
        <w:numPr>
          <w:ilvl w:val="0"/>
          <w:numId w:val="1005"/>
        </w:numPr>
      </w:pPr>
      <w:r>
        <w:t xml:space="preserve">CEO Don Wood framed the purchasing-power argument around household income multiplied by household density within a 3-mile radius as the reason FRT's real estate should outperform peers if the "K-shaped" consumer economy persists.</w:t>
      </w:r>
    </w:p>
    <w:bookmarkEnd w:id="13"/>
    <w:bookmarkStart w:id="14" w:name="office--mixed-use-leasing-strength"/>
    <w:p>
      <w:pPr>
        <w:pStyle w:val="Heading2"/>
      </w:pPr>
      <w:r>
        <w:t xml:space="preserve">Office &amp; Mixed-Use Leasing Strength</w:t>
      </w:r>
    </w:p>
    <w:p>
      <w:pPr>
        <w:pStyle w:val="FirstParagraph"/>
      </w:pPr>
      <w:r>
        <w:t xml:space="preserve">A notable proof point from Q1: with the PNC Bank lease signing, Santana West is officially 100% leased, and all of Santana Row's office space is 100% leased — striking given nearby downtown San Jose Class A office vacancy stands at 36%. Pike &amp; Rose office is 100% leased, CocoWalk office is 100% leased, Bethesda Row office is 97% leased, Assembly Row office is 94% leased, and the whole office portfolio is 99% leased overall. This should continue converting straight-line rent into cash rent through 2026–2028, a key AFFO driver highlighted at Investor Day.</w:t>
      </w:r>
    </w:p>
    <w:bookmarkEnd w:id="14"/>
    <w:bookmarkStart w:id="15" w:name="X8bad31062cc60d0519df1b13ab315e1e4930115"/>
    <w:p>
      <w:pPr>
        <w:pStyle w:val="Heading2"/>
      </w:pPr>
      <w:r>
        <w:t xml:space="preserve">Dividend — Still the Only REIT "Dividend King"</w:t>
      </w:r>
    </w:p>
    <w:p>
      <w:pPr>
        <w:pStyle w:val="FirstParagraph"/>
      </w:pPr>
      <w:r>
        <w:t xml:space="preserve">Federal Realty is the only REIT Dividend King, having stretched its increase streak to 58 consecutive years, with a current quarterly dividend of $1.13 per share, an indicated annual rate of</w:t>
      </w:r>
      <w:r>
        <w:t xml:space="preserve"> </w:t>
      </w:r>
      <m:oMath>
        <m:r>
          <m:t>4.52</m:t>
        </m:r>
        <m:r>
          <m:rPr>
            <m:sty m:val="p"/>
          </m:rPr>
          <m:t>,</m:t>
        </m:r>
        <m:r>
          <m:t>m</m:t>
        </m:r>
        <m:r>
          <m:t>o</m:t>
        </m:r>
        <m:r>
          <m:t>s</m:t>
        </m:r>
        <m:r>
          <m:t>t</m:t>
        </m:r>
        <m:r>
          <m:t>r</m:t>
        </m:r>
        <m:r>
          <m:t>e</m:t>
        </m:r>
        <m:r>
          <m:t>c</m:t>
        </m:r>
        <m:r>
          <m:t>e</m:t>
        </m:r>
        <m:r>
          <m:t>n</m:t>
        </m:r>
        <m:r>
          <m:t>t</m:t>
        </m:r>
        <m:r>
          <m:t>l</m:t>
        </m:r>
        <m:r>
          <m:t>y</m:t>
        </m:r>
        <m:r>
          <m:t>p</m:t>
        </m:r>
        <m:r>
          <m:t>a</m:t>
        </m:r>
        <m:r>
          <m:t>i</m:t>
        </m:r>
        <m:r>
          <m:t>d</m:t>
        </m:r>
        <m:r>
          <m:t>o</m:t>
        </m:r>
        <m:r>
          <m:t>n</m:t>
        </m:r>
        <m:r>
          <m:t>J</m:t>
        </m:r>
        <m:r>
          <m:t>u</m:t>
        </m:r>
        <m:r>
          <m:t>l</m:t>
        </m:r>
        <m:r>
          <m:t>y</m:t>
        </m:r>
        <m:r>
          <m:t>15</m:t>
        </m:r>
        <m:r>
          <m:rPr>
            <m:sty m:val="p"/>
          </m:rPr>
          <m:t>,</m:t>
        </m:r>
        <m:r>
          <m:t>2026</m:t>
        </m:r>
        <m:r>
          <m:rPr>
            <m:sty m:val="p"/>
          </m:rPr>
          <m:t>.</m:t>
        </m:r>
        <m:r>
          <m:t>A</m:t>
        </m:r>
        <m:r>
          <m:t>t</m:t>
        </m:r>
        <m:r>
          <m:t>a</m:t>
        </m:r>
        <m:r>
          <m:t> </m:t>
        </m:r>
      </m:oMath>
      <w:r>
        <w:t xml:space="preserve">124–127 stock price, that implies a yield of roughly 3.6%. Free cash flow after dividends and maintenance capex is expected by management to exceed $100 million in 2026, rising further in 2027–2028 as the residential/office lease-up bubble converts to cash rent — supporting continued (if modest) dividend growth.</w:t>
      </w:r>
    </w:p>
    <w:bookmarkEnd w:id="15"/>
    <w:bookmarkStart w:id="16" w:name="key-things-to-watch-tomorrow"/>
    <w:p>
      <w:pPr>
        <w:pStyle w:val="Heading2"/>
      </w:pPr>
      <w:r>
        <w:t xml:space="preserve">Key Things to Watch Tomorrow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FFO vs.</w:t>
      </w:r>
      <w:r>
        <w:rPr>
          <w:b/>
          <w:bCs/>
        </w:rPr>
        <w:t xml:space="preserve"> </w:t>
      </w:r>
      <m:oMath>
        <m:r>
          <m:t>1.83</m:t>
        </m:r>
        <m:r>
          <m:rPr>
            <m:sty m:val="p"/>
          </m:rPr>
          <m:t>–</m:t>
        </m:r>
      </m:oMath>
      <w:r>
        <w:rPr>
          <w:b/>
          <w:bCs/>
        </w:rPr>
        <w:t xml:space="preserve">1.86 guided range / ~$1.85 consensus</w:t>
      </w:r>
      <w:r>
        <w:t xml:space="preserve"> </w:t>
      </w:r>
      <w:r>
        <w:t xml:space="preserve">— remember the tough Q2 2025 comp from the one-time NMTC gain; underlying growth should still look healthy.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Comparable POI/NOI growth</w:t>
      </w:r>
      <w:r>
        <w:t xml:space="preserve"> </w:t>
      </w:r>
      <w:r>
        <w:t xml:space="preserve">— did the expected dip into the "2s" for Q2 materialize, and is management still confident in the Q4 acceleration to 3.5–4%+?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Occupancy trajectory</w:t>
      </w:r>
      <w:r>
        <w:t xml:space="preserve"> </w:t>
      </w:r>
      <w:r>
        <w:t xml:space="preserve">— tracking toward mid-to-upper 93% before the expected Q4 jump to mid-to-upper 94%.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Leasing spreads and volume</w:t>
      </w:r>
      <w:r>
        <w:t xml:space="preserve"> </w:t>
      </w:r>
      <w:r>
        <w:t xml:space="preserve">— watch for continuation of the double-digit cash spreads and anchor-box leasing momentum seen in Q1.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Capital recycling updates</w:t>
      </w:r>
      <w:r>
        <w:t xml:space="preserve"> </w:t>
      </w:r>
      <w:r>
        <w:t xml:space="preserve">— any new acquisitions/dispositions beyond the $92 million YTD acquisitions and $159 million of Q1 asset sales, and progress on the $1.5 billion disposition pool.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Refinancing plans</w:t>
      </w:r>
      <w:r>
        <w:t xml:space="preserve"> </w:t>
      </w:r>
      <w:r>
        <w:t xml:space="preserve">— updates on the anticipated bond or convertible issuance to term out revolver borrowings, given the ~175 bps refinancing headwind already embedded in guidance.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Full-year guidance revision</w:t>
      </w:r>
      <w:r>
        <w:t xml:space="preserve"> </w:t>
      </w:r>
      <w:r>
        <w:t xml:space="preserve">— management explicitly said it would likely raise guidance further as 2H26 acquisitions/dispositions close; any update here matters given shares already reflect high expectations.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Tenant health / bankruptcies</w:t>
      </w:r>
      <w:r>
        <w:t xml:space="preserve"> </w:t>
      </w:r>
      <w:r>
        <w:t xml:space="preserve">— any commentary on tenant credit reserve (currently 60–85 bps of rental income) given macro uncertainty (tariffs, rates, K-shaped consumer).</w:t>
      </w:r>
    </w:p>
    <w:bookmarkEnd w:id="16"/>
    <w:bookmarkStart w:id="17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FRT heads into Q2 earnings from a position of operational strength — record leasing volumes, near-full office occupancy at its flagship mixed-use assets, an improving balance sheet, and a credible multi-year growth algorithm (5.25%–7.5% FFO growth in 2027–2028) laid out just weeks ago at Investor Day. The main swing factor tomorrow is less about the "growth story" and more about</w:t>
      </w:r>
      <w:r>
        <w:t xml:space="preserve"> </w:t>
      </w:r>
      <w:r>
        <w:rPr>
          <w:b/>
          <w:bCs/>
        </w:rPr>
        <w:t xml:space="preserve">optics</w:t>
      </w:r>
      <w:r>
        <w:t xml:space="preserve">: a consensus FFO figure that looks like a year-over-year decline due to a one-time 2025 tax-credit benefit, set against a stock that has already re-rated meaningfully higher into the print. Investors should focus on comparable POI trends, occupancy/leasing momentum, and any incremental guidance commentary rather than the headline year-over-year FFO comparison.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2026-07-31T00:13:43Z</dcterms:created>
  <dcterms:modified xsi:type="dcterms:W3CDTF">2026-07-31T00:13:43Z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