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frt-q2-2026-earnings-preview"/>
    <w:p>
      <w:pPr>
        <w:pStyle w:val="Heading1"/>
      </w:pPr>
      <w:r>
        <w:t xml:space="preserve">FRT Q2 2026 Earnings Preview</w:t>
      </w:r>
    </w:p>
    <w:p>
      <w:pPr>
        <w:pStyle w:val="BlockText"/>
      </w:pPr>
      <w:r>
        <w:rPr>
          <w:b/>
          <w:bCs/>
        </w:rPr>
        <w:t xml:space="preserve">Timing note:</w:t>
      </w:r>
      <w:r>
        <w:t xml:space="preserve"> </w:t>
      </w:r>
      <w:r>
        <w:t xml:space="preserve">July 31, 2026 is today—not tomorrow. Federal Realty’s published schedule calls for Q2 results</w:t>
      </w:r>
      <w:r>
        <w:t xml:space="preserve"> </w:t>
      </w:r>
      <w:r>
        <w:rPr>
          <w:b/>
          <w:bCs/>
        </w:rPr>
        <w:t xml:space="preserve">before the market opens on Friday, July 31</w:t>
      </w:r>
      <w:r>
        <w:t xml:space="preserve">, followed by the earnings call at</w:t>
      </w:r>
      <w:r>
        <w:t xml:space="preserve"> </w:t>
      </w:r>
      <w:r>
        <w:rPr>
          <w:b/>
          <w:bCs/>
        </w:rPr>
        <w:t xml:space="preserve">9:00 a.m. ET</w:t>
      </w:r>
      <w:r>
        <w:t xml:space="preserve">. (</w:t>
      </w:r>
      <w:hyperlink r:id="rId9">
        <w:r>
          <w:rPr>
            <w:rStyle w:val="Hyperlink"/>
          </w:rPr>
          <w:t xml:space="preserve">federalrealty.com</w:t>
        </w:r>
      </w:hyperlink>
      <w:r>
        <w:t xml:space="preserve">)</w:t>
      </w:r>
    </w:p>
    <w:bookmarkStart w:id="10" w:name="investment-view-going-into-the-report"/>
    <w:p>
      <w:pPr>
        <w:pStyle w:val="Heading2"/>
      </w:pPr>
      <w:r>
        <w:t xml:space="preserve">Investment view going into the report</w:t>
      </w:r>
    </w:p>
    <w:p>
      <w:pPr>
        <w:pStyle w:val="FirstParagraph"/>
      </w:pPr>
      <w:r>
        <w:t xml:space="preserve">Federal Realty enters Q2 with strong operating momentum, unusually good visibility into future rent commencement, and elevated expectations following an excellent first quarter and an optimistic May investor day.</w:t>
      </w:r>
    </w:p>
    <w:p>
      <w:pPr>
        <w:pStyle w:val="BodyText"/>
      </w:pPr>
      <w:r>
        <w:t xml:space="preserve">The central question is therefore not whether Q2 looks as strong as Q1. Management already indicated it would not. Rather, investors should assess whether the quarter confirms the company’s broader claim that FRT is entering a multiyear period of mid- to high-single-digit FFO growth, supported by:</w:t>
      </w:r>
    </w:p>
    <w:p>
      <w:pPr>
        <w:pStyle w:val="Compact"/>
        <w:numPr>
          <w:ilvl w:val="0"/>
          <w:numId w:val="1001"/>
        </w:numPr>
      </w:pPr>
      <w:r>
        <w:t xml:space="preserve">contractual occupancy gains;</w:t>
      </w:r>
    </w:p>
    <w:p>
      <w:pPr>
        <w:pStyle w:val="Compact"/>
        <w:numPr>
          <w:ilvl w:val="0"/>
          <w:numId w:val="1001"/>
        </w:numPr>
      </w:pPr>
      <w:r>
        <w:t xml:space="preserve">double-digit leasing spreads;</w:t>
      </w:r>
    </w:p>
    <w:p>
      <w:pPr>
        <w:pStyle w:val="Compact"/>
        <w:numPr>
          <w:ilvl w:val="0"/>
          <w:numId w:val="1001"/>
        </w:numPr>
      </w:pPr>
      <w:r>
        <w:t xml:space="preserve">redevelopment and development income;</w:t>
      </w:r>
    </w:p>
    <w:p>
      <w:pPr>
        <w:pStyle w:val="Compact"/>
        <w:numPr>
          <w:ilvl w:val="0"/>
          <w:numId w:val="1001"/>
        </w:numPr>
      </w:pPr>
      <w:r>
        <w:t xml:space="preserve">accretive capital recycling; and</w:t>
      </w:r>
    </w:p>
    <w:p>
      <w:pPr>
        <w:pStyle w:val="Compact"/>
        <w:numPr>
          <w:ilvl w:val="0"/>
          <w:numId w:val="1001"/>
        </w:numPr>
      </w:pPr>
      <w:r>
        <w:t xml:space="preserve">improving cash conversion.</w:t>
      </w:r>
    </w:p>
    <w:p>
      <w:pPr>
        <w:pStyle w:val="FirstParagraph"/>
      </w:pPr>
      <w:r>
        <w:t xml:space="preserve">Because the stock has appreciated materially, a merely in-line quarter may not be enough to drive meaningful upside. The most constructive outcome would combine an FFO result near or above the top of management’s quarterly range with maintained operating momentum and another increase to full-year guidance.</w:t>
      </w:r>
    </w:p>
    <w:p>
      <w:r>
        <w:pict>
          <v:rect style="width:0;height:1.5pt" o:hralign="center" o:hrstd="t" o:hr="t"/>
        </w:pict>
      </w:r>
    </w:p>
    <w:bookmarkEnd w:id="10"/>
    <w:bookmarkStart w:id="12" w:name="the-key-benchmarks"/>
    <w:p>
      <w:pPr>
        <w:pStyle w:val="Heading2"/>
      </w:pPr>
      <w:r>
        <w:t xml:space="preserve">The key benchmarks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Benchmark entering Q2</w:t>
            </w:r>
          </w:p>
        </w:tc>
      </w:tr>
      <w:tr>
        <w:tc>
          <w:tcPr/>
          <w:p>
            <w:pPr>
              <w:pStyle w:val="Compact"/>
            </w:pPr>
            <w:r>
              <w:rPr>
                <w:b/>
                <w:bCs/>
              </w:rPr>
              <w:t xml:space="preserve">Q2 FFO per share</w:t>
            </w:r>
          </w:p>
        </w:tc>
        <w:tc>
          <w:tcPr/>
          <w:p>
            <w:pPr>
              <w:pStyle w:val="Compact"/>
              <w:jc w:val="right"/>
            </w:pPr>
            <w:r>
              <w:t xml:space="preserve">Management forecast:</w:t>
            </w:r>
            <w:r>
              <w:t xml:space="preserve"> </w:t>
            </w:r>
            <m:oMath>
              <m:r>
                <m:t>1.83</m:t>
              </m:r>
              <m:r>
                <m:rPr>
                  <m:sty m:val="p"/>
                </m:rPr>
                <m:t>−</m:t>
              </m:r>
            </m:oMath>
            <w:r>
              <w:rPr>
                <w:b/>
                <w:bCs/>
              </w:rPr>
              <w:t xml:space="preserve">1.86</w:t>
            </w:r>
          </w:p>
        </w:tc>
      </w:tr>
      <w:tr>
        <w:tc>
          <w:tcPr/>
          <w:p>
            <w:pPr>
              <w:pStyle w:val="Compact"/>
            </w:pPr>
            <w:r>
              <w:rPr>
                <w:b/>
                <w:bCs/>
              </w:rPr>
              <w:t xml:space="preserve">2026 FFO guidance</w:t>
            </w:r>
          </w:p>
        </w:tc>
        <w:tc>
          <w:tcPr/>
          <w:p>
            <w:pPr>
              <w:pStyle w:val="Compact"/>
              <w:jc w:val="right"/>
            </w:pPr>
            <m:oMath>
              <m:r>
                <m:t>7.46</m:t>
              </m:r>
              <m:r>
                <m:rPr>
                  <m:sty m:val="p"/>
                </m:rPr>
                <m:t>−</m:t>
              </m:r>
            </m:oMath>
            <w:r>
              <w:rPr>
                <w:b/>
                <w:bCs/>
              </w:rPr>
              <w:t xml:space="preserve">7.55</w:t>
            </w:r>
          </w:p>
        </w:tc>
      </w:tr>
      <w:tr>
        <w:tc>
          <w:tcPr/>
          <w:p>
            <w:pPr>
              <w:pStyle w:val="Compact"/>
            </w:pPr>
            <w:r>
              <w:rPr>
                <w:b/>
                <w:bCs/>
              </w:rPr>
              <w:t xml:space="preserve">2026 guidance midpoint</w:t>
            </w:r>
          </w:p>
        </w:tc>
        <w:tc>
          <w:tcPr/>
          <w:p>
            <w:pPr>
              <w:pStyle w:val="Compact"/>
              <w:jc w:val="right"/>
            </w:pPr>
            <w:r>
              <w:rPr>
                <w:b/>
                <w:bCs/>
              </w:rPr>
              <w:t xml:space="preserve">$7.505</w:t>
            </w:r>
          </w:p>
        </w:tc>
      </w:tr>
      <w:tr>
        <w:tc>
          <w:tcPr/>
          <w:p>
            <w:pPr>
              <w:pStyle w:val="Compact"/>
            </w:pPr>
            <w:r>
              <w:rPr>
                <w:b/>
                <w:bCs/>
              </w:rPr>
              <w:t xml:space="preserve">Comparable POI growth</w:t>
            </w:r>
          </w:p>
        </w:tc>
        <w:tc>
          <w:tcPr/>
          <w:p>
            <w:pPr>
              <w:pStyle w:val="Compact"/>
              <w:jc w:val="right"/>
            </w:pPr>
            <w:r>
              <w:t xml:space="preserve">Expected to moderate toward approximately</w:t>
            </w:r>
            <w:r>
              <w:t xml:space="preserve"> </w:t>
            </w:r>
            <w:r>
              <w:rPr>
                <w:b/>
                <w:bCs/>
              </w:rPr>
              <w:t xml:space="preserve">2%</w:t>
            </w:r>
            <w:r>
              <w:t xml:space="preserve"> </w:t>
            </w:r>
            <w:r>
              <w:t xml:space="preserve">in Q2</w:t>
            </w:r>
          </w:p>
        </w:tc>
      </w:tr>
      <w:tr>
        <w:tc>
          <w:tcPr/>
          <w:p>
            <w:pPr>
              <w:pStyle w:val="Compact"/>
            </w:pPr>
            <w:r>
              <w:rPr>
                <w:b/>
                <w:bCs/>
              </w:rPr>
              <w:t xml:space="preserve">Q1 leased rate</w:t>
            </w:r>
          </w:p>
        </w:tc>
        <w:tc>
          <w:tcPr/>
          <w:p>
            <w:pPr>
              <w:pStyle w:val="Compact"/>
              <w:jc w:val="right"/>
            </w:pPr>
            <w:r>
              <w:rPr>
                <w:b/>
                <w:bCs/>
              </w:rPr>
              <w:t xml:space="preserve">96.1%</w:t>
            </w:r>
          </w:p>
        </w:tc>
      </w:tr>
      <w:tr>
        <w:tc>
          <w:tcPr/>
          <w:p>
            <w:pPr>
              <w:pStyle w:val="Compact"/>
            </w:pPr>
            <w:r>
              <w:rPr>
                <w:b/>
                <w:bCs/>
              </w:rPr>
              <w:t xml:space="preserve">Q1 occupied rate</w:t>
            </w:r>
          </w:p>
        </w:tc>
        <w:tc>
          <w:tcPr/>
          <w:p>
            <w:pPr>
              <w:pStyle w:val="Compact"/>
              <w:jc w:val="right"/>
            </w:pPr>
            <w:r>
              <w:rPr>
                <w:b/>
                <w:bCs/>
              </w:rPr>
              <w:t xml:space="preserve">93.8%</w:t>
            </w:r>
          </w:p>
        </w:tc>
      </w:tr>
      <w:tr>
        <w:tc>
          <w:tcPr/>
          <w:p>
            <w:pPr>
              <w:pStyle w:val="Compact"/>
            </w:pPr>
            <w:r>
              <w:rPr>
                <w:b/>
                <w:bCs/>
              </w:rPr>
              <w:t xml:space="preserve">Q1 comparable leasing spreads</w:t>
            </w:r>
          </w:p>
        </w:tc>
        <w:tc>
          <w:tcPr/>
          <w:p>
            <w:pPr>
              <w:pStyle w:val="Compact"/>
              <w:jc w:val="right"/>
            </w:pPr>
            <w:r>
              <w:rPr>
                <w:b/>
                <w:bCs/>
              </w:rPr>
              <w:t xml:space="preserve">13% cash / 23% straight-line</w:t>
            </w:r>
          </w:p>
        </w:tc>
      </w:tr>
      <w:tr>
        <w:tc>
          <w:tcPr/>
          <w:p>
            <w:pPr>
              <w:pStyle w:val="Compact"/>
            </w:pPr>
            <w:r>
              <w:rPr>
                <w:b/>
                <w:bCs/>
              </w:rPr>
              <w:t xml:space="preserve">Q1 FFO per share</w:t>
            </w:r>
          </w:p>
        </w:tc>
        <w:tc>
          <w:tcPr/>
          <w:p>
            <w:pPr>
              <w:pStyle w:val="Compact"/>
              <w:jc w:val="right"/>
            </w:pPr>
            <w:r>
              <w:rPr>
                <w:b/>
                <w:bCs/>
              </w:rPr>
              <w:t xml:space="preserve">$1.88</w:t>
            </w:r>
            <w:r>
              <w:t xml:space="preserve">, up 10.6% year over year</w:t>
            </w:r>
          </w:p>
        </w:tc>
      </w:tr>
    </w:tbl>
    <w:p>
      <w:pPr>
        <w:pStyle w:val="BodyText"/>
      </w:pPr>
      <w:r>
        <w:t xml:space="preserve">FRT’s own quarterly cadence is the cleanest earnings benchmark. Management forecast Q2 FFO of</w:t>
      </w:r>
      <w:r>
        <w:t xml:space="preserve"> </w:t>
      </w:r>
      <m:oMath>
        <m:r>
          <m:t>1.83</m:t>
        </m:r>
        <m:r>
          <m:rPr>
            <m:sty m:val="p"/>
          </m:rPr>
          <m:t>−</m:t>
        </m:r>
      </m:oMath>
      <w:r>
        <w:t xml:space="preserve">1.86, followed by</w:t>
      </w:r>
      <w:r>
        <w:t xml:space="preserve"> </w:t>
      </w:r>
      <m:oMath>
        <m:r>
          <m:t>1.84</m:t>
        </m:r>
        <m:r>
          <m:rPr>
            <m:sty m:val="p"/>
          </m:rPr>
          <m:t>−</m:t>
        </m:r>
      </m:oMath>
      <w:r>
        <w:t xml:space="preserve">1.87 in Q3 and low- to mid-$1.90s in Q4. Q1’s $1.88 benefited from lease-termination income and timing items, while Q2 was expected to absorb higher refinancing costs and early lease-up losses at The Blayr. (</w:t>
      </w:r>
      <w:hyperlink r:id="rId11">
        <w:r>
          <w:rPr>
            <w:rStyle w:val="Hyperlink"/>
          </w:rPr>
          <w:t xml:space="preserve">ir.federalrealty.com</w:t>
        </w:r>
      </w:hyperlink>
      <w:r>
        <w:t xml:space="preserve">)</w:t>
      </w:r>
    </w:p>
    <w:bookmarkEnd w:id="12"/>
    <w:bookmarkStart w:id="13" w:name="X9853134f97bcb07e6353d03128ec4f2ee877678"/>
    <w:p>
      <w:pPr>
        <w:pStyle w:val="Heading2"/>
      </w:pPr>
      <w:r>
        <w:t xml:space="preserve">1. An FFO decline from Q1 is expected</w:t>
      </w:r>
    </w:p>
    <w:p>
      <w:pPr>
        <w:pStyle w:val="FirstParagraph"/>
      </w:pPr>
      <w:r>
        <w:t xml:space="preserve">A sequential decline from $1.88 in Q1 should not automatically be interpreted as deteriorating fundamentals.</w:t>
      </w:r>
    </w:p>
    <w:p>
      <w:pPr>
        <w:pStyle w:val="BodyText"/>
      </w:pPr>
      <w:r>
        <w:t xml:space="preserve">Management identified several reasons for a lower Q2 result:</w:t>
      </w:r>
    </w:p>
    <w:p>
      <w:pPr>
        <w:pStyle w:val="Compact"/>
        <w:numPr>
          <w:ilvl w:val="0"/>
          <w:numId w:val="1002"/>
        </w:numPr>
      </w:pPr>
      <w:r>
        <w:t xml:space="preserve">approximately a penny of refinancing pressure following the repayment of the former 1.25% notes;</w:t>
      </w:r>
    </w:p>
    <w:p>
      <w:pPr>
        <w:pStyle w:val="Compact"/>
        <w:numPr>
          <w:ilvl w:val="0"/>
          <w:numId w:val="1002"/>
        </w:numPr>
      </w:pPr>
      <w:r>
        <w:t xml:space="preserve">initial losses during The Blayr’s residential lease-up;</w:t>
      </w:r>
    </w:p>
    <w:p>
      <w:pPr>
        <w:pStyle w:val="Compact"/>
        <w:numPr>
          <w:ilvl w:val="0"/>
          <w:numId w:val="1002"/>
        </w:numPr>
      </w:pPr>
      <w:r>
        <w:t xml:space="preserve">the absence of roughly $0.02 of timing benefits pulled into Q1; and</w:t>
      </w:r>
    </w:p>
    <w:p>
      <w:pPr>
        <w:pStyle w:val="Compact"/>
        <w:numPr>
          <w:ilvl w:val="0"/>
          <w:numId w:val="1002"/>
        </w:numPr>
      </w:pPr>
      <w:r>
        <w:t xml:space="preserve">normalization of lease-termination fees.</w:t>
      </w:r>
    </w:p>
    <w:p>
      <w:pPr>
        <w:pStyle w:val="FirstParagraph"/>
      </w:pPr>
      <w:r>
        <w:t xml:space="preserve">Consequently,</w:t>
      </w:r>
      <w:r>
        <w:t xml:space="preserve"> </w:t>
      </w:r>
      <m:oMath>
        <m:r>
          <m:t>1.83</m:t>
        </m:r>
        <m:r>
          <m:rPr>
            <m:sty m:val="p"/>
          </m:rPr>
          <m:t>−</m:t>
        </m:r>
      </m:oMath>
      <w:r>
        <w:rPr>
          <w:b/>
          <w:bCs/>
        </w:rPr>
        <w:t xml:space="preserve">1.86 is the relevant range</w:t>
      </w:r>
      <w:r>
        <w:t xml:space="preserve">, not the Q1 result. An outcome above $1.86 would be a clear positive, particularly if driven by recurring rent, occupancy or acquisition income rather than termination fees.</w:t>
      </w:r>
    </w:p>
    <w:p>
      <w:pPr>
        <w:pStyle w:val="BodyText"/>
      </w:pPr>
      <w:r>
        <w:t xml:space="preserve">An in-range result would be acceptable, but investors would then need stronger operating metrics or guidance to view the report as a beat.</w:t>
      </w:r>
    </w:p>
    <w:p>
      <w:r>
        <w:pict>
          <v:rect style="width:0;height:1.5pt" o:hralign="center" o:hrstd="t" o:hr="t"/>
        </w:pict>
      </w:r>
    </w:p>
    <w:bookmarkEnd w:id="13"/>
    <w:bookmarkStart w:id="15" w:name="X8d97326629c5f2792f9d1fff3a48c90d049006d"/>
    <w:p>
      <w:pPr>
        <w:pStyle w:val="Heading2"/>
      </w:pPr>
      <w:r>
        <w:t xml:space="preserve">2. Occupancy conversion is more important than headline same-property growth</w:t>
      </w:r>
    </w:p>
    <w:p>
      <w:pPr>
        <w:pStyle w:val="FirstParagraph"/>
      </w:pPr>
      <w:r>
        <w:t xml:space="preserve">Management previously said comparable POI growth would slow toward 2% in Q2 and Q3 before reaccelerating to roughly 3.5%-4% in Q4. The anticipated pattern reflects tenant-opening dates, not a sudden weakening in leasing demand.</w:t>
      </w:r>
    </w:p>
    <w:p>
      <w:pPr>
        <w:pStyle w:val="BodyText"/>
      </w:pPr>
      <w:r>
        <w:t xml:space="preserve">At the end of Q1, FRT was 96.1% leased but only 93.8% occupied—a</w:t>
      </w:r>
      <w:r>
        <w:t xml:space="preserve"> </w:t>
      </w:r>
      <w:r>
        <w:rPr>
          <w:b/>
          <w:bCs/>
        </w:rPr>
        <w:t xml:space="preserve">230-basis-point spread</w:t>
      </w:r>
      <w:r>
        <w:t xml:space="preserve"> </w:t>
      </w:r>
      <w:r>
        <w:t xml:space="preserve">representing signed tenants that had not yet begun paying rent. The company also disclosed approximately $36 million of incremental rent from executed-but-not-yet-occupied leases, with contributions expected over the balance of 2026 and into 2027. Q1 comparable POI growth was 4.7%, while FRT completed 649,000 square feet of comparable leasing at a 13% cash rent increase. (</w:t>
      </w:r>
      <w:hyperlink r:id="rId14">
        <w:r>
          <w:rPr>
            <w:rStyle w:val="Hyperlink"/>
          </w:rPr>
          <w:t xml:space="preserve">ir.federalrealty.com</w:t>
        </w:r>
      </w:hyperlink>
      <w:r>
        <w:t xml:space="preserve">)</w:t>
      </w:r>
    </w:p>
    <w:p>
      <w:pPr>
        <w:pStyle w:val="BodyText"/>
      </w:pPr>
      <w:r>
        <w:t xml:space="preserve">The most important Q2 questions are:</w:t>
      </w:r>
    </w:p>
    <w:p>
      <w:pPr>
        <w:pStyle w:val="Compact"/>
        <w:numPr>
          <w:ilvl w:val="0"/>
          <w:numId w:val="1003"/>
        </w:numPr>
      </w:pPr>
      <w:r>
        <w:t xml:space="preserve">Did physical occupancy remain in the mid- to upper-93% range?</w:t>
      </w:r>
    </w:p>
    <w:p>
      <w:pPr>
        <w:pStyle w:val="Compact"/>
        <w:numPr>
          <w:ilvl w:val="0"/>
          <w:numId w:val="1003"/>
        </w:numPr>
      </w:pPr>
      <w:r>
        <w:t xml:space="preserve">Is the leased rate holding around 96%?</w:t>
      </w:r>
    </w:p>
    <w:p>
      <w:pPr>
        <w:pStyle w:val="Compact"/>
        <w:numPr>
          <w:ilvl w:val="0"/>
          <w:numId w:val="1003"/>
        </w:numPr>
      </w:pPr>
      <w:r>
        <w:t xml:space="preserve">Are expected Q3 and October tenant openings still on schedule?</w:t>
      </w:r>
    </w:p>
    <w:p>
      <w:pPr>
        <w:pStyle w:val="Compact"/>
        <w:numPr>
          <w:ilvl w:val="0"/>
          <w:numId w:val="1003"/>
        </w:numPr>
      </w:pPr>
      <w:r>
        <w:t xml:space="preserve">Has the signed-not-open rent backlog grown or contracted?</w:t>
      </w:r>
    </w:p>
    <w:p>
      <w:pPr>
        <w:pStyle w:val="Compact"/>
        <w:numPr>
          <w:ilvl w:val="0"/>
          <w:numId w:val="1003"/>
        </w:numPr>
      </w:pPr>
      <w:r>
        <w:t xml:space="preserve">Are permitting, construction costs or tariffs delaying tenant openings?</w:t>
      </w:r>
    </w:p>
    <w:p>
      <w:pPr>
        <w:pStyle w:val="FirstParagraph"/>
      </w:pPr>
      <w:r>
        <w:t xml:space="preserve">A stable headline occupancy rate accompanied by continued leasing and reaffirmed opening dates would be satisfactory. A widening leased-versus-occupied spread caused by delays would deserve scrutiny.</w:t>
      </w:r>
    </w:p>
    <w:p>
      <w:r>
        <w:pict>
          <v:rect style="width:0;height:1.5pt" o:hralign="center" o:hrstd="t" o:hr="t"/>
        </w:pict>
      </w:r>
    </w:p>
    <w:bookmarkEnd w:id="15"/>
    <w:bookmarkStart w:id="16" w:name="X2476db6bb853cbf44a41cb09fcc6e2dbb491983"/>
    <w:p>
      <w:pPr>
        <w:pStyle w:val="Heading2"/>
      </w:pPr>
      <w:r>
        <w:t xml:space="preserve">3. Leasing spreads should remain the strongest operating signal</w:t>
      </w:r>
    </w:p>
    <w:p>
      <w:pPr>
        <w:pStyle w:val="FirstParagraph"/>
      </w:pPr>
      <w:r>
        <w:t xml:space="preserve">FRT’s Q1 leasing volume was unusually strong for a first quarter, and its 13% cash comparable spread demonstrated continued landlord pricing power. New leases generated substantially higher spreads than renewals, although they also required considerably more tenant capital.</w:t>
      </w:r>
    </w:p>
    <w:p>
      <w:pPr>
        <w:pStyle w:val="BodyText"/>
      </w:pPr>
      <w:r>
        <w:t xml:space="preserve">For Q2, investors should focus on:</w:t>
      </w:r>
    </w:p>
    <w:p>
      <w:pPr>
        <w:pStyle w:val="Compact"/>
        <w:numPr>
          <w:ilvl w:val="0"/>
          <w:numId w:val="1004"/>
        </w:numPr>
      </w:pPr>
      <w:r>
        <w:t xml:space="preserve">total comparable square footage signed;</w:t>
      </w:r>
    </w:p>
    <w:p>
      <w:pPr>
        <w:pStyle w:val="Compact"/>
        <w:numPr>
          <w:ilvl w:val="0"/>
          <w:numId w:val="1004"/>
        </w:numPr>
      </w:pPr>
      <w:r>
        <w:t xml:space="preserve">cash and straight-line rent spreads;</w:t>
      </w:r>
    </w:p>
    <w:p>
      <w:pPr>
        <w:pStyle w:val="Compact"/>
        <w:numPr>
          <w:ilvl w:val="0"/>
          <w:numId w:val="1004"/>
        </w:numPr>
      </w:pPr>
      <w:r>
        <w:t xml:space="preserve">new-lease versus renewal economics;</w:t>
      </w:r>
    </w:p>
    <w:p>
      <w:pPr>
        <w:pStyle w:val="Compact"/>
        <w:numPr>
          <w:ilvl w:val="0"/>
          <w:numId w:val="1004"/>
        </w:numPr>
      </w:pPr>
      <w:r>
        <w:t xml:space="preserve">small-shop leasing;</w:t>
      </w:r>
    </w:p>
    <w:p>
      <w:pPr>
        <w:pStyle w:val="Compact"/>
        <w:numPr>
          <w:ilvl w:val="0"/>
          <w:numId w:val="1004"/>
        </w:numPr>
      </w:pPr>
      <w:r>
        <w:t xml:space="preserve">tenant-improvement spending; and</w:t>
      </w:r>
    </w:p>
    <w:p>
      <w:pPr>
        <w:pStyle w:val="Compact"/>
        <w:numPr>
          <w:ilvl w:val="0"/>
          <w:numId w:val="1004"/>
        </w:numPr>
      </w:pPr>
      <w:r>
        <w:t xml:space="preserve">the pipeline of space under negotiation.</w:t>
      </w:r>
    </w:p>
    <w:p>
      <w:pPr>
        <w:pStyle w:val="FirstParagraph"/>
      </w:pPr>
      <w:r>
        <w:t xml:space="preserve">Management entered the quarter with more than 1.7 million square feet under negotiation. A second quarter of double-digit cash spreads and robust volume would help validate the investor-day expectation for approximately 3.5%-4.5% annual cash comparable growth in 2027 and 2028.</w:t>
      </w:r>
    </w:p>
    <w:p>
      <w:pPr>
        <w:pStyle w:val="BodyText"/>
      </w:pPr>
      <w:r>
        <w:t xml:space="preserve">The quality of the leasing is as important as the headline spread. Large rent increases accompanied by excessive tenant allowances, extended free-rent periods or lengthy downtime would be less valuable than the reported number suggests.</w:t>
      </w:r>
    </w:p>
    <w:p>
      <w:r>
        <w:pict>
          <v:rect style="width:0;height:1.5pt" o:hralign="center" o:hrstd="t" o:hr="t"/>
        </w:pict>
      </w:r>
    </w:p>
    <w:bookmarkEnd w:id="16"/>
    <w:bookmarkStart w:id="18" w:name="X75116184bcd7242342d18b7ad463ddd3c5b6d81"/>
    <w:p>
      <w:pPr>
        <w:pStyle w:val="Heading2"/>
      </w:pPr>
      <w:r>
        <w:t xml:space="preserve">4. Guidance has a favorable bias—but expectations are no longer low</w:t>
      </w:r>
    </w:p>
    <w:p>
      <w:pPr>
        <w:pStyle w:val="FirstParagraph"/>
      </w:pPr>
      <w:r>
        <w:t xml:space="preserve">FRT raised 2026 FFO guidance after Q1 to</w:t>
      </w:r>
      <w:r>
        <w:t xml:space="preserve"> </w:t>
      </w:r>
      <m:oMath>
        <m:r>
          <m:t>7.46</m:t>
        </m:r>
        <m:r>
          <m:rPr>
            <m:sty m:val="p"/>
          </m:rPr>
          <m:t>−</m:t>
        </m:r>
      </m:oMath>
      <w:r>
        <w:t xml:space="preserve">7.55, representing 5.7%-6.9% growth. The increase reflected stronger property operations, redevelopment contributions, acquisitions and termination fees. (</w:t>
      </w:r>
      <w:hyperlink r:id="rId11">
        <w:r>
          <w:rPr>
            <w:rStyle w:val="Hyperlink"/>
          </w:rPr>
          <w:t xml:space="preserve">ir.federalrealty.com</w:t>
        </w:r>
      </w:hyperlink>
      <w:r>
        <w:t xml:space="preserve">)</w:t>
      </w:r>
    </w:p>
    <w:p>
      <w:pPr>
        <w:pStyle w:val="BodyText"/>
      </w:pPr>
      <w:r>
        <w:t xml:space="preserve">The full-year midpoint implies approximately</w:t>
      </w:r>
      <w:r>
        <w:t xml:space="preserve"> </w:t>
      </w:r>
      <w:r>
        <w:rPr>
          <w:b/>
          <w:bCs/>
        </w:rPr>
        <w:t xml:space="preserve">$5.63 of FFO over Q2-Q4</w:t>
      </w:r>
      <w:r>
        <w:t xml:space="preserve"> </w:t>
      </w:r>
      <w:r>
        <w:t xml:space="preserve">after Q1’s $1.88. Management’s stated quarterly cadence adds up consistently with that outlook, so a Q2 result near the top of the range could create room for another modest increase.</w:t>
      </w:r>
    </w:p>
    <w:bookmarkStart w:id="17" w:name="likely-market-interpretations"/>
    <w:p>
      <w:pPr>
        <w:pStyle w:val="Heading3"/>
      </w:pPr>
      <w:r>
        <w:t xml:space="preserve">Likely market interpretations</w:t>
      </w:r>
    </w:p>
    <w:p>
      <w:pPr>
        <w:pStyle w:val="Compact"/>
        <w:numPr>
          <w:ilvl w:val="0"/>
          <w:numId w:val="1005"/>
        </w:numPr>
      </w:pPr>
      <w:r>
        <w:rPr>
          <w:b/>
          <w:bCs/>
        </w:rPr>
        <w:t xml:space="preserve">Bullish:</w:t>
      </w:r>
      <w:r>
        <w:t xml:space="preserve"> </w:t>
      </w:r>
      <w:r>
        <w:t xml:space="preserve">FFO above $1.86, guidance raised, double-digit leasing spreads and intact Q4 occupancy acceleration.</w:t>
      </w:r>
    </w:p>
    <w:p>
      <w:pPr>
        <w:pStyle w:val="Compact"/>
        <w:numPr>
          <w:ilvl w:val="0"/>
          <w:numId w:val="1005"/>
        </w:numPr>
      </w:pPr>
      <w:r>
        <w:rPr>
          <w:b/>
          <w:bCs/>
        </w:rPr>
        <w:t xml:space="preserve">Constructive:</w:t>
      </w:r>
      <w:r>
        <w:t xml:space="preserve"> </w:t>
      </w:r>
      <w:r>
        <w:t xml:space="preserve">FFO within range, guidance maintained, but recurring operations outperform and the signed-rent backlog increases.</w:t>
      </w:r>
    </w:p>
    <w:p>
      <w:pPr>
        <w:pStyle w:val="Compact"/>
        <w:numPr>
          <w:ilvl w:val="0"/>
          <w:numId w:val="1005"/>
        </w:numPr>
      </w:pPr>
      <w:r>
        <w:rPr>
          <w:b/>
          <w:bCs/>
        </w:rPr>
        <w:t xml:space="preserve">Neutral:</w:t>
      </w:r>
      <w:r>
        <w:t xml:space="preserve"> </w:t>
      </w:r>
      <w:r>
        <w:t xml:space="preserve">In-line FFO and unchanged guidance with no material change in leasing or capital recycling.</w:t>
      </w:r>
    </w:p>
    <w:p>
      <w:pPr>
        <w:pStyle w:val="Compact"/>
        <w:numPr>
          <w:ilvl w:val="0"/>
          <w:numId w:val="1005"/>
        </w:numPr>
      </w:pPr>
      <w:r>
        <w:rPr>
          <w:b/>
          <w:bCs/>
        </w:rPr>
        <w:t xml:space="preserve">Bearish:</w:t>
      </w:r>
      <w:r>
        <w:t xml:space="preserve"> </w:t>
      </w:r>
      <w:r>
        <w:t xml:space="preserve">FFO below $1.83, tenant-opening delays, occupancy erosion or reduced comparable-growth guidance.</w:t>
      </w:r>
    </w:p>
    <w:p>
      <w:pPr>
        <w:pStyle w:val="FirstParagraph"/>
      </w:pPr>
      <w:r>
        <w:t xml:space="preserve">A small guidance increase driven solely by termination fees would be less meaningful than one supported by recurring property income.</w:t>
      </w:r>
    </w:p>
    <w:p>
      <w:r>
        <w:pict>
          <v:rect style="width:0;height:1.5pt" o:hralign="center" o:hrstd="t" o:hr="t"/>
        </w:pict>
      </w:r>
    </w:p>
    <w:bookmarkEnd w:id="17"/>
    <w:bookmarkEnd w:id="18"/>
    <w:bookmarkStart w:id="21" w:name="Xf9af8ba1e6dfebe9e592ba66453008ba9c67146"/>
    <w:p>
      <w:pPr>
        <w:pStyle w:val="Heading2"/>
      </w:pPr>
      <w:r>
        <w:t xml:space="preserve">5. Capital recycling could be the biggest source of incremental upside</w:t>
      </w:r>
    </w:p>
    <w:p>
      <w:pPr>
        <w:pStyle w:val="FirstParagraph"/>
      </w:pPr>
      <w:r>
        <w:t xml:space="preserve">At its investor day, FRT outlined approximately $1.5 billion of assets that could be monetized over three to four years. The strategy is to sell mature properties at lower yields and reinvest in acquisitions or redevelopments offering higher returns. Management also disclosed a roughly $1.4 billion acquisition pipeline, although it does not include speculative acquisitions in guidance. (</w:t>
      </w:r>
      <w:hyperlink r:id="rId19">
        <w:r>
          <w:rPr>
            <w:rStyle w:val="Hyperlink"/>
          </w:rPr>
          <w:t xml:space="preserve">ir.federalrealty.com</w:t>
        </w:r>
      </w:hyperlink>
      <w:r>
        <w:t xml:space="preserve">)</w:t>
      </w:r>
    </w:p>
    <w:p>
      <w:pPr>
        <w:pStyle w:val="BodyText"/>
      </w:pPr>
      <w:r>
        <w:t xml:space="preserve">After quarter-end, FRT sold Barcroft Plaza in Falls Church, Virginia, for approximately $58 million. Combined with the $159 million of first-quarter dispositions, that provides additional evidence that management can source attractively priced disposition capital. (</w:t>
      </w:r>
      <w:hyperlink r:id="rId20">
        <w:r>
          <w:rPr>
            <w:rStyle w:val="Hyperlink"/>
          </w:rPr>
          <w:t xml:space="preserve">jll.com</w:t>
        </w:r>
      </w:hyperlink>
      <w:r>
        <w:t xml:space="preserve">)</w:t>
      </w:r>
    </w:p>
    <w:p>
      <w:pPr>
        <w:pStyle w:val="BodyText"/>
      </w:pPr>
      <w:r>
        <w:t xml:space="preserve">Investors should listen for:</w:t>
      </w:r>
    </w:p>
    <w:p>
      <w:pPr>
        <w:pStyle w:val="Compact"/>
        <w:numPr>
          <w:ilvl w:val="0"/>
          <w:numId w:val="1006"/>
        </w:numPr>
      </w:pPr>
      <w:r>
        <w:t xml:space="preserve">additional acquisitions completed or under contract;</w:t>
      </w:r>
    </w:p>
    <w:p>
      <w:pPr>
        <w:pStyle w:val="Compact"/>
        <w:numPr>
          <w:ilvl w:val="0"/>
          <w:numId w:val="1006"/>
        </w:numPr>
      </w:pPr>
      <w:r>
        <w:t xml:space="preserve">expected initial yields and redevelopment upside;</w:t>
      </w:r>
    </w:p>
    <w:p>
      <w:pPr>
        <w:pStyle w:val="Compact"/>
        <w:numPr>
          <w:ilvl w:val="0"/>
          <w:numId w:val="1006"/>
        </w:numPr>
      </w:pPr>
      <w:r>
        <w:t xml:space="preserve">further disposition candidates;</w:t>
      </w:r>
    </w:p>
    <w:p>
      <w:pPr>
        <w:pStyle w:val="Compact"/>
        <w:numPr>
          <w:ilvl w:val="0"/>
          <w:numId w:val="1006"/>
        </w:numPr>
      </w:pPr>
      <w:r>
        <w:t xml:space="preserve">the acquisition-versus-disposition yield spread;</w:t>
      </w:r>
    </w:p>
    <w:p>
      <w:pPr>
        <w:pStyle w:val="Compact"/>
        <w:numPr>
          <w:ilvl w:val="0"/>
          <w:numId w:val="1006"/>
        </w:numPr>
      </w:pPr>
      <w:r>
        <w:t xml:space="preserve">whether competitive pricing is compressing acquisition returns; and</w:t>
      </w:r>
    </w:p>
    <w:p>
      <w:pPr>
        <w:pStyle w:val="Compact"/>
        <w:numPr>
          <w:ilvl w:val="0"/>
          <w:numId w:val="1006"/>
        </w:numPr>
      </w:pPr>
      <w:r>
        <w:t xml:space="preserve">whether asset sales will fund acquisitions, debt reduction or share repurchases.</w:t>
      </w:r>
    </w:p>
    <w:p>
      <w:pPr>
        <w:pStyle w:val="FirstParagraph"/>
      </w:pPr>
      <w:r>
        <w:t xml:space="preserve">The ideal outcome is leverage-neutral recycling with a roughly 150-200-basis-point initial yield advantage, followed by above-average property-level growth.</w:t>
      </w:r>
    </w:p>
    <w:p>
      <w:r>
        <w:pict>
          <v:rect style="width:0;height:1.5pt" o:hralign="center" o:hrstd="t" o:hr="t"/>
        </w:pict>
      </w:r>
    </w:p>
    <w:bookmarkEnd w:id="21"/>
    <w:bookmarkStart w:id="22" w:name="X08a22b9897577a15872f1fa88264b9b3682bc2b"/>
    <w:p>
      <w:pPr>
        <w:pStyle w:val="Heading2"/>
      </w:pPr>
      <w:r>
        <w:t xml:space="preserve">6. Development and redevelopment updates matter increasingly</w:t>
      </w:r>
    </w:p>
    <w:p>
      <w:pPr>
        <w:pStyle w:val="FirstParagraph"/>
      </w:pPr>
      <w:r>
        <w:t xml:space="preserve">Key projects to monitor include:</w:t>
      </w:r>
    </w:p>
    <w:p>
      <w:pPr>
        <w:pStyle w:val="Compact"/>
        <w:numPr>
          <w:ilvl w:val="0"/>
          <w:numId w:val="1007"/>
        </w:numPr>
      </w:pPr>
      <w:r>
        <w:rPr>
          <w:b/>
          <w:bCs/>
        </w:rPr>
        <w:t xml:space="preserve">The Blayr at Bala Cynwyd:</w:t>
      </w:r>
      <w:r>
        <w:t xml:space="preserve"> </w:t>
      </w:r>
      <w:r>
        <w:t xml:space="preserve">Q1 leasing was ahead of plan, but early lease-up is initially dilutive. Investors need updated occupancy, rents and the expected breakeven date.</w:t>
      </w:r>
    </w:p>
    <w:p>
      <w:pPr>
        <w:pStyle w:val="Compact"/>
        <w:numPr>
          <w:ilvl w:val="0"/>
          <w:numId w:val="1007"/>
        </w:numPr>
      </w:pPr>
      <w:r>
        <w:rPr>
          <w:b/>
          <w:bCs/>
        </w:rPr>
        <w:t xml:space="preserve">Santana West:</w:t>
      </w:r>
      <w:r>
        <w:t xml:space="preserve"> </w:t>
      </w:r>
      <w:r>
        <w:t xml:space="preserve">The office portfolio reached 100% leased, but the timing of tenant occupancy and cash-rent commencement remains important.</w:t>
      </w:r>
    </w:p>
    <w:p>
      <w:pPr>
        <w:pStyle w:val="Compact"/>
        <w:numPr>
          <w:ilvl w:val="0"/>
          <w:numId w:val="1007"/>
        </w:numPr>
      </w:pPr>
      <w:r>
        <w:rPr>
          <w:b/>
          <w:bCs/>
        </w:rPr>
        <w:t xml:space="preserve">Santana Row Lot 12:</w:t>
      </w:r>
      <w:r>
        <w:t xml:space="preserve"> </w:t>
      </w:r>
      <w:r>
        <w:t xml:space="preserve">A 258-unit residential development targeted for delivery in 2027.</w:t>
      </w:r>
    </w:p>
    <w:p>
      <w:pPr>
        <w:pStyle w:val="Compact"/>
        <w:numPr>
          <w:ilvl w:val="0"/>
          <w:numId w:val="1007"/>
        </w:numPr>
      </w:pPr>
      <w:r>
        <w:rPr>
          <w:b/>
          <w:bCs/>
        </w:rPr>
        <w:t xml:space="preserve">Willow Grove:</w:t>
      </w:r>
      <w:r>
        <w:t xml:space="preserve"> </w:t>
      </w:r>
      <w:r>
        <w:t xml:space="preserve">A 261-unit residential project expected to deliver in 2028.</w:t>
      </w:r>
    </w:p>
    <w:p>
      <w:pPr>
        <w:pStyle w:val="Compact"/>
        <w:numPr>
          <w:ilvl w:val="0"/>
          <w:numId w:val="1007"/>
        </w:numPr>
      </w:pPr>
      <w:r>
        <w:rPr>
          <w:b/>
          <w:bCs/>
        </w:rPr>
        <w:t xml:space="preserve">Del Monte, Grossmont and Westgate:</w:t>
      </w:r>
      <w:r>
        <w:t xml:space="preserve"> </w:t>
      </w:r>
      <w:r>
        <w:t xml:space="preserve">Important property-level redevelopment and remerchandising opportunities highlighted at investor day.</w:t>
      </w:r>
    </w:p>
    <w:p>
      <w:pPr>
        <w:pStyle w:val="FirstParagraph"/>
      </w:pPr>
      <w:r>
        <w:t xml:space="preserve">Management expects approximately $10 million of incremental annual property income from development and redevelopment in each of 2027 and 2028. Q2 should help indicate whether that schedule remains realistic.</w:t>
      </w:r>
    </w:p>
    <w:p>
      <w:r>
        <w:pict>
          <v:rect style="width:0;height:1.5pt" o:hralign="center" o:hrstd="t" o:hr="t"/>
        </w:pict>
      </w:r>
    </w:p>
    <w:bookmarkEnd w:id="22"/>
    <w:bookmarkStart w:id="23" w:name="Xb627420db0279529dae864a3b38f0418c627544"/>
    <w:p>
      <w:pPr>
        <w:pStyle w:val="Heading2"/>
      </w:pPr>
      <w:r>
        <w:t xml:space="preserve">7. Balance-sheet execution remains the principal offset</w:t>
      </w:r>
    </w:p>
    <w:p>
      <w:pPr>
        <w:pStyle w:val="FirstParagraph"/>
      </w:pPr>
      <w:r>
        <w:t xml:space="preserve">The operating outlook is favorable, but higher interest expense is a real headwind. Q1 interest expense increased 15.6% year over year, reflecting higher borrowings, less capitalized interest and somewhat higher borrowing costs.</w:t>
      </w:r>
    </w:p>
    <w:p>
      <w:pPr>
        <w:pStyle w:val="BodyText"/>
      </w:pPr>
      <w:r>
        <w:t xml:space="preserve">Management ended Q1 at approximately:</w:t>
      </w:r>
    </w:p>
    <w:p>
      <w:pPr>
        <w:pStyle w:val="Compact"/>
        <w:numPr>
          <w:ilvl w:val="0"/>
          <w:numId w:val="1008"/>
        </w:numPr>
      </w:pPr>
      <w:r>
        <w:rPr>
          <w:b/>
          <w:bCs/>
        </w:rPr>
        <w:t xml:space="preserve">5.5x annualized net debt to EBITDA</w:t>
      </w:r>
      <w:r>
        <w:t xml:space="preserve">;</w:t>
      </w:r>
    </w:p>
    <w:p>
      <w:pPr>
        <w:pStyle w:val="Compact"/>
        <w:numPr>
          <w:ilvl w:val="0"/>
          <w:numId w:val="1008"/>
        </w:numPr>
      </w:pPr>
      <w:r>
        <w:rPr>
          <w:b/>
          <w:bCs/>
        </w:rPr>
        <w:t xml:space="preserve">3.9x fixed-charge coverage</w:t>
      </w:r>
      <w:r>
        <w:t xml:space="preserve">; and</w:t>
      </w:r>
    </w:p>
    <w:p>
      <w:pPr>
        <w:pStyle w:val="Compact"/>
        <w:numPr>
          <w:ilvl w:val="0"/>
          <w:numId w:val="1008"/>
        </w:numPr>
      </w:pPr>
      <w:r>
        <w:t xml:space="preserve">only about</w:t>
      </w:r>
      <w:r>
        <w:t xml:space="preserve"> </w:t>
      </w:r>
      <w:r>
        <w:rPr>
          <w:b/>
          <w:bCs/>
        </w:rPr>
        <w:t xml:space="preserve">$50 million of remaining 2026 maturities</w:t>
      </w:r>
      <w:r>
        <w:t xml:space="preserve">, excluding debt with extension flexibility.</w:t>
      </w:r>
    </w:p>
    <w:p>
      <w:pPr>
        <w:pStyle w:val="FirstParagraph"/>
      </w:pPr>
      <w:r>
        <w:t xml:space="preserve">The company expects leverage to improve and fixed-charge coverage to rise above 4x. Confirmation of those trajectories would support the argument that FRT can finance acquisitions and development without materially weakening its investment-grade balance sheet.</w:t>
      </w:r>
    </w:p>
    <w:p>
      <w:r>
        <w:pict>
          <v:rect style="width:0;height:1.5pt" o:hralign="center" o:hrstd="t" o:hr="t"/>
        </w:pict>
      </w:r>
    </w:p>
    <w:bookmarkEnd w:id="23"/>
    <w:bookmarkStart w:id="24" w:name="valuation-and-expectations"/>
    <w:p>
      <w:pPr>
        <w:pStyle w:val="Heading2"/>
      </w:pPr>
      <w:r>
        <w:t xml:space="preserve">Valuation and expectations</w:t>
      </w:r>
    </w:p>
    <w:p>
      <w:pPr>
        <w:pStyle w:val="FirstParagraph"/>
      </w:pPr>
      <w:r>
        <w:t xml:space="preserve">FRT closed July 30 at $124.12, approximately</w:t>
      </w:r>
      <w:r>
        <w:t xml:space="preserve"> </w:t>
      </w:r>
      <w:r>
        <w:rPr>
          <w:b/>
          <w:bCs/>
        </w:rPr>
        <w:t xml:space="preserve">23% above its December 31, 2025 close</w:t>
      </w:r>
      <w:r>
        <w:t xml:space="preserve"> </w:t>
      </w:r>
      <w:r>
        <w:t xml:space="preserve">and roughly 12% above the day before Q1 earnings.</w:t>
      </w:r>
    </w:p>
    <w:p>
      <w:pPr>
        <w:pStyle w:val="BodyText"/>
      </w:pPr>
      <w:r>
        <w:t xml:space="preserve">At that price, the shares trade at about</w:t>
      </w:r>
      <w:r>
        <w:t xml:space="preserve"> </w:t>
      </w:r>
      <w:r>
        <w:rPr>
          <w:b/>
          <w:bCs/>
        </w:rPr>
        <w:t xml:space="preserve">16.5 times</w:t>
      </w:r>
      <w:r>
        <w:t xml:space="preserve"> </w:t>
      </w:r>
      <w:r>
        <w:t xml:space="preserve">the midpoint of 2026 FFO guidance and yield approximately</w:t>
      </w:r>
      <w:r>
        <w:t xml:space="preserve"> </w:t>
      </w:r>
      <w:r>
        <w:rPr>
          <w:b/>
          <w:bCs/>
        </w:rPr>
        <w:t xml:space="preserve">3.6%</w:t>
      </w:r>
      <w:r>
        <w:t xml:space="preserve"> </w:t>
      </w:r>
      <w:r>
        <w:t xml:space="preserve">based on the current $1.13 quarterly dividend.</w:t>
      </w:r>
    </w:p>
    <w:p>
      <w:pPr>
        <w:pStyle w:val="BodyText"/>
      </w:pPr>
      <w:r>
        <w:t xml:space="preserve">That is not an excessive valuation for FRT’s asset quality and growth visibility, but it does mean investors are already crediting the company for successful occupancy conversion and capital recycling. The report probably needs either a clean beat, a guidance increase or stronger evidence supporting the 2027-2028 growth framework to generate substantial incremental upside.</w:t>
      </w:r>
    </w:p>
    <w:bookmarkEnd w:id="24"/>
    <w:bookmarkStart w:id="25" w:name="bottom-line"/>
    <w:p>
      <w:pPr>
        <w:pStyle w:val="Heading2"/>
      </w:pPr>
      <w:r>
        <w:t xml:space="preserve">Bottom line</w:t>
      </w:r>
    </w:p>
    <w:p>
      <w:pPr>
        <w:pStyle w:val="FirstParagraph"/>
      </w:pPr>
      <w:r>
        <w:t xml:space="preserve">The most important number is not necessarily Q2 FFO. The report should be judged on whether it strengthens confidence in the</w:t>
      </w:r>
      <w:r>
        <w:t xml:space="preserve"> </w:t>
      </w:r>
      <w:r>
        <w:rPr>
          <w:b/>
          <w:bCs/>
        </w:rPr>
        <w:t xml:space="preserve">2027 earnings bridge</w:t>
      </w:r>
      <w:r>
        <w:t xml:space="preserve">.</w:t>
      </w:r>
    </w:p>
    <w:p>
      <w:pPr>
        <w:pStyle w:val="BodyText"/>
      </w:pPr>
      <w:r>
        <w:t xml:space="preserve">The best signs would be:</w:t>
      </w:r>
    </w:p>
    <w:p>
      <w:pPr>
        <w:pStyle w:val="Compact"/>
        <w:numPr>
          <w:ilvl w:val="0"/>
          <w:numId w:val="1009"/>
        </w:numPr>
      </w:pPr>
      <w:r>
        <w:t xml:space="preserve">Q2 FFO at or above $1.86;</w:t>
      </w:r>
    </w:p>
    <w:p>
      <w:pPr>
        <w:pStyle w:val="Compact"/>
        <w:numPr>
          <w:ilvl w:val="0"/>
          <w:numId w:val="1009"/>
        </w:numPr>
      </w:pPr>
      <w:r>
        <w:t xml:space="preserve">double-digit leasing spreads with disciplined tenant capital;</w:t>
      </w:r>
    </w:p>
    <w:p>
      <w:pPr>
        <w:pStyle w:val="Compact"/>
        <w:numPr>
          <w:ilvl w:val="0"/>
          <w:numId w:val="1009"/>
        </w:numPr>
      </w:pPr>
      <w:r>
        <w:t xml:space="preserve">stable occupancy and reaffirmed Q4 tenant openings;</w:t>
      </w:r>
    </w:p>
    <w:p>
      <w:pPr>
        <w:pStyle w:val="Compact"/>
        <w:numPr>
          <w:ilvl w:val="0"/>
          <w:numId w:val="1009"/>
        </w:numPr>
      </w:pPr>
      <w:r>
        <w:t xml:space="preserve">recurring-property strength supporting higher 2026 guidance;</w:t>
      </w:r>
    </w:p>
    <w:p>
      <w:pPr>
        <w:pStyle w:val="Compact"/>
        <w:numPr>
          <w:ilvl w:val="0"/>
          <w:numId w:val="1009"/>
        </w:numPr>
      </w:pPr>
      <w:r>
        <w:t xml:space="preserve">accretive acquisition or disposition activity; and</w:t>
      </w:r>
    </w:p>
    <w:p>
      <w:pPr>
        <w:pStyle w:val="Compact"/>
        <w:numPr>
          <w:ilvl w:val="0"/>
          <w:numId w:val="1009"/>
        </w:numPr>
      </w:pPr>
      <w:r>
        <w:t xml:space="preserve">continued improvement in leverage and cash-flow conversion.</w:t>
      </w:r>
    </w:p>
    <w:p>
      <w:pPr>
        <w:pStyle w:val="FirstParagraph"/>
      </w:pPr>
      <w:r>
        <w:t xml:space="preserve">A sequential FFO decline and slower comparable growth are already embedded in management’s plan. The real downside risk is evidence that signed leases are taking longer to commence, acquisitions are becoming less accretive, or financing costs are absorbing more of the portfolio’s operating growth than expected.</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r.federalrealty.com/node/21426?utm_source=openai" TargetMode="External" /><Relationship Type="http://schemas.openxmlformats.org/officeDocument/2006/relationships/hyperlink" Id="rId19" Target="https://ir.federalrealty.com/node/21456?utm_source=openai" TargetMode="External" /><Relationship Type="http://schemas.openxmlformats.org/officeDocument/2006/relationships/hyperlink" Id="rId14" Target="https://ir.federalrealty.com/static-files/08f50d7a-b0a3-49ca-8da3-eba4183178e6?utm_source=openai" TargetMode="External" /><Relationship Type="http://schemas.openxmlformats.org/officeDocument/2006/relationships/hyperlink" Id="rId9" Target="https://www.federalrealty.com/about/newsroom/?utm_source=openai" TargetMode="External" /><Relationship Type="http://schemas.openxmlformats.org/officeDocument/2006/relationships/hyperlink" Id="rId20" Target="https://www.jll.com/en-us/newsroom/58m-sale-and-35-95m-financing-secured-for-barcroft-plaza?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r.federalrealty.com/node/21426?utm_source=openai" TargetMode="External" /><Relationship Type="http://schemas.openxmlformats.org/officeDocument/2006/relationships/hyperlink" Id="rId19" Target="https://ir.federalrealty.com/node/21456?utm_source=openai" TargetMode="External" /><Relationship Type="http://schemas.openxmlformats.org/officeDocument/2006/relationships/hyperlink" Id="rId14" Target="https://ir.federalrealty.com/static-files/08f50d7a-b0a3-49ca-8da3-eba4183178e6?utm_source=openai" TargetMode="External" /><Relationship Type="http://schemas.openxmlformats.org/officeDocument/2006/relationships/hyperlink" Id="rId9" Target="https://www.federalrealty.com/about/newsroom/?utm_source=openai" TargetMode="External" /><Relationship Type="http://schemas.openxmlformats.org/officeDocument/2006/relationships/hyperlink" Id="rId20" Target="https://www.jll.com/en-us/newsroom/58m-sale-and-35-95m-financing-secured-for-barcroft-plaza?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2026-07-31T00:15:23Z</dcterms:created>
  <dcterms:modified xsi:type="dcterms:W3CDTF">2026-07-31T00:15:23Z</dcterms:modified>
</cp:coreProperties>
</file>

<file path=docProps/custom.xml><?xml version="1.0" encoding="utf-8"?>
<Properties xmlns="http://schemas.openxmlformats.org/officeDocument/2006/custom-properties" xmlns:vt="http://schemas.openxmlformats.org/officeDocument/2006/docPropsVTypes"/>
</file>