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rt-earnings-predictions--2026-07-31"/>
    <w:p>
      <w:pPr>
        <w:pStyle w:val="Heading1"/>
      </w:pPr>
      <w:r>
        <w:t xml:space="preserve">FRT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 per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~$1.87 vs. cons $1.85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Comparable POI growth (GAAP)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~2.4% vs. cons 2.2%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Portfolio occupancy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~93.9% vs. cons 93.8%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FFO per share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~$7.51 midpoint vs. cons $7.51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comparable POI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~3.4% midpoint vs. cons 3.4%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4Q26 portfolio occupancy exit rate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~94.6% vs. cons 94.6% (4Q26)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Signed-but-not-open rent contribution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~$36 million vs. cons $36 million (2H26 into 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A modest ~</w:t>
            </w:r>
            <m:oMath>
              <m:r>
                <m:t>0.02</m:t>
              </m:r>
              <m:r>
                <m:t>C</m:t>
              </m:r>
              <m:r>
                <m:t>o</m:t>
              </m:r>
              <m:r>
                <m:t>r</m:t>
              </m:r>
              <m:r>
                <m:t>e</m:t>
              </m:r>
              <m:r>
                <m:rPr>
                  <m:sty m:val="p"/>
                </m:rPr>
                <m:t>−</m:t>
              </m:r>
              <m:r>
                <m:t>F</m:t>
              </m:r>
              <m:r>
                <m:t>F</m:t>
              </m:r>
              <m:r>
                <m:t>O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0.00 of FY2026 guidance upside should initially reward the print, but unchanged ~$7.51 FY2026 midpoint guidance leaves out-period 2027 estimate revisions limited after the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2026-07-31T00:13:55Z</dcterms:created>
  <dcterms:modified xsi:type="dcterms:W3CDTF">2026-07-31T00:13:55Z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