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1e3eae7d3dcbf096e42ae8d947bedf5616c31f"/>
    <w:p>
      <w:pPr>
        <w:pStyle w:val="Heading1"/>
      </w:pPr>
      <w:r>
        <w:t xml:space="preserve">Federal Realty Investment Trust (NYSE: FRT) — 2Q26 Earnings Preview</w:t>
      </w:r>
    </w:p>
    <w:p>
      <w:pPr>
        <w:pStyle w:val="BlockText"/>
      </w:pPr>
      <w:r>
        <w:rPr>
          <w:b/>
          <w:bCs/>
        </w:rPr>
        <w:t xml:space="preserve">Scheduling note:</w:t>
      </w:r>
      <w:r>
        <w:t xml:space="preserve"> </w:t>
      </w:r>
      <w:r>
        <w:t xml:space="preserve">July 31, 2026 is</w:t>
      </w:r>
      <w:r>
        <w:t xml:space="preserve"> </w:t>
      </w:r>
      <w:r>
        <w:rPr>
          <w:b/>
          <w:bCs/>
        </w:rPr>
        <w:t xml:space="preserve">today</w:t>
      </w:r>
      <w:r>
        <w:t xml:space="preserve">, not tomorrow. Federal Realty is scheduled to release 2Q26 results</w:t>
      </w:r>
      <w:r>
        <w:t xml:space="preserve"> </w:t>
      </w:r>
      <w:r>
        <w:rPr>
          <w:b/>
          <w:bCs/>
        </w:rPr>
        <w:t xml:space="preserve">before the market opens on Friday, July 31</w:t>
      </w:r>
      <w:r>
        <w:t xml:space="preserve">, followed by its conference call at</w:t>
      </w:r>
      <w:r>
        <w:t xml:space="preserve"> </w:t>
      </w:r>
      <w:r>
        <w:rPr>
          <w:b/>
          <w:bCs/>
        </w:rPr>
        <w:t xml:space="preserve">9:00 a.m. ET</w:t>
      </w:r>
      <w:r>
        <w:t xml:space="preserve">. This is a pre-release preview.</w:t>
      </w:r>
    </w:p>
    <w:bookmarkStart w:id="9" w:name="Xdc963d6d897105843cc21d30b4b46553713940e"/>
    <w:p>
      <w:pPr>
        <w:pStyle w:val="Heading2"/>
      </w:pPr>
      <w:r>
        <w:t xml:space="preserve">Investment view: the bar is less about the quarter, more about validating the multiyear growth algorithm</w:t>
      </w:r>
    </w:p>
    <w:p>
      <w:pPr>
        <w:pStyle w:val="FirstParagraph"/>
      </w:pPr>
      <w:r>
        <w:t xml:space="preserve">FRT enters 2Q with strong operating momentum, a raised full-year outlook, and a share price that has already reflected much of that improvement. The key question is not whether the company produces solid FFO; management itself framed 2Q Core FFO at</w:t>
      </w:r>
      <w:r>
        <w:t xml:space="preserve"> </w:t>
      </w:r>
      <m:oMath>
        <m:r>
          <m:t>1.83</m:t>
        </m:r>
        <m:r>
          <m:rPr>
            <m:sty m:val="p"/>
          </m:rPr>
          <m:t>–</m:t>
        </m:r>
      </m:oMath>
      <w:r>
        <w:rPr>
          <w:b/>
          <w:bCs/>
        </w:rPr>
        <w:t xml:space="preserve">1.86 per share</w:t>
      </w:r>
      <w:r>
        <w:t xml:space="preserve">. Rather, investors will focus on whether the operational building blocks behind FRT’s Investor Day framework remain intact:</w:t>
      </w:r>
    </w:p>
    <w:p>
      <w:pPr>
        <w:pStyle w:val="Compact"/>
        <w:numPr>
          <w:ilvl w:val="0"/>
          <w:numId w:val="1001"/>
        </w:numPr>
      </w:pPr>
      <w:r>
        <w:rPr>
          <w:b/>
          <w:bCs/>
        </w:rPr>
        <w:t xml:space="preserve">Leasing spreads and signed-not-open rent commencements</w:t>
      </w:r>
    </w:p>
    <w:p>
      <w:pPr>
        <w:pStyle w:val="Compact"/>
        <w:numPr>
          <w:ilvl w:val="0"/>
          <w:numId w:val="1001"/>
        </w:numPr>
      </w:pPr>
      <w:r>
        <w:rPr>
          <w:b/>
          <w:bCs/>
        </w:rPr>
        <w:t xml:space="preserve">Occupancy stability through the expected midyear trough</w:t>
      </w:r>
    </w:p>
    <w:p>
      <w:pPr>
        <w:pStyle w:val="Compact"/>
        <w:numPr>
          <w:ilvl w:val="0"/>
          <w:numId w:val="1001"/>
        </w:numPr>
      </w:pPr>
      <w:r>
        <w:rPr>
          <w:b/>
          <w:bCs/>
        </w:rPr>
        <w:t xml:space="preserve">Comparable-property NOI/POI cadence</w:t>
      </w:r>
    </w:p>
    <w:p>
      <w:pPr>
        <w:pStyle w:val="Compact"/>
        <w:numPr>
          <w:ilvl w:val="0"/>
          <w:numId w:val="1001"/>
        </w:numPr>
      </w:pPr>
      <w:r>
        <w:rPr>
          <w:b/>
          <w:bCs/>
        </w:rPr>
        <w:t xml:space="preserve">Accretive capital recycling and acquisitions</w:t>
      </w:r>
    </w:p>
    <w:p>
      <w:pPr>
        <w:pStyle w:val="Compact"/>
        <w:numPr>
          <w:ilvl w:val="0"/>
          <w:numId w:val="1001"/>
        </w:numPr>
      </w:pPr>
      <w:r>
        <w:rPr>
          <w:b/>
          <w:bCs/>
        </w:rPr>
        <w:t xml:space="preserve">Confidence in 2026 guidance and the 2027–28 growth setup</w:t>
      </w:r>
    </w:p>
    <w:p>
      <w:pPr>
        <w:pStyle w:val="FirstParagraph"/>
      </w:pPr>
      <w:r>
        <w:t xml:space="preserve">A clean quarter that holds guidance may be sufficient fundamentally, but the stock’s strong run means the market is likely looking for evidence that FRT can ultimately exceed—not merely maintain—its current outlook.</w:t>
      </w:r>
    </w:p>
    <w:p>
      <w:r>
        <w:pict>
          <v:rect style="width:0;height:1.5pt" o:hralign="center" o:hrstd="t" o:hr="t"/>
        </w:pict>
      </w:r>
    </w:p>
    <w:bookmarkEnd w:id="9"/>
    <w:bookmarkStart w:id="11" w:name="X0fa5f0763648d064d84cfe60c8a4655ad237957"/>
    <w:p>
      <w:pPr>
        <w:pStyle w:val="Heading2"/>
      </w:pPr>
      <w:r>
        <w:t xml:space="preserve">What management has already told investors to expect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actual / status</w:t>
            </w:r>
          </w:p>
        </w:tc>
        <w:tc>
          <w:tcPr/>
          <w:p>
            <w:pPr>
              <w:pStyle w:val="Compact"/>
            </w:pPr>
            <w:r>
              <w:t xml:space="preserve">2Q26 setup</w:t>
            </w:r>
          </w:p>
        </w:tc>
      </w:tr>
      <w:tr>
        <w:tc>
          <w:tcPr/>
          <w:p>
            <w:pPr>
              <w:pStyle w:val="Compact"/>
            </w:pPr>
            <w:r>
              <w:t xml:space="preserve">Core FFO per share</w:t>
            </w:r>
          </w:p>
        </w:tc>
        <w:tc>
          <w:tcPr/>
          <w:p>
            <w:pPr>
              <w:pStyle w:val="Compact"/>
              <w:jc w:val="right"/>
            </w:pPr>
            <w:r>
              <w:rPr>
                <w:b/>
                <w:bCs/>
              </w:rPr>
              <w:t xml:space="preserve">$1.88</w:t>
            </w:r>
          </w:p>
        </w:tc>
        <w:tc>
          <w:tcPr/>
          <w:p>
            <w:pPr>
              <w:pStyle w:val="Compact"/>
            </w:pPr>
            <m:oMath>
              <m:r>
                <m:t>1.83</m:t>
              </m:r>
              <m:r>
                <m:rPr>
                  <m:sty m:val="p"/>
                </m:rPr>
                <m:t>–</m:t>
              </m:r>
            </m:oMath>
            <w:r>
              <w:rPr>
                <w:b/>
                <w:bCs/>
              </w:rPr>
              <w:t xml:space="preserve">1.86</w:t>
            </w:r>
            <w:r>
              <w:t xml:space="preserve"> </w:t>
            </w:r>
            <w:r>
              <w:t xml:space="preserve">management outlook</w:t>
            </w:r>
          </w:p>
        </w:tc>
      </w:tr>
      <w:tr>
        <w:tc>
          <w:tcPr/>
          <w:p>
            <w:pPr>
              <w:pStyle w:val="Compact"/>
            </w:pPr>
            <w:r>
              <w:t xml:space="preserve">Full-year 2026 Core FFO</w:t>
            </w:r>
          </w:p>
        </w:tc>
        <w:tc>
          <w:tcPr/>
          <w:p>
            <w:pPr>
              <w:pStyle w:val="Compact"/>
              <w:jc w:val="right"/>
            </w:pPr>
            <w:r>
              <w:t xml:space="preserve">Guidance raised to</w:t>
            </w:r>
            <w:r>
              <w:t xml:space="preserve"> </w:t>
            </w:r>
            <m:oMath>
              <m:r>
                <m:t>7.46</m:t>
              </m:r>
              <m:r>
                <m:rPr>
                  <m:sty m:val="p"/>
                </m:rPr>
                <m:t>–</m:t>
              </m:r>
            </m:oMath>
            <w:r>
              <w:rPr>
                <w:b/>
                <w:bCs/>
              </w:rPr>
              <w:t xml:space="preserve">7.55</w:t>
            </w:r>
          </w:p>
        </w:tc>
        <w:tc>
          <w:tcPr/>
          <w:p>
            <w:pPr>
              <w:pStyle w:val="Compact"/>
            </w:pPr>
            <w:r>
              <w:t xml:space="preserve">Primary benchmark for the call</w:t>
            </w:r>
          </w:p>
        </w:tc>
      </w:tr>
      <w:tr>
        <w:tc>
          <w:tcPr/>
          <w:p>
            <w:pPr>
              <w:pStyle w:val="Compact"/>
            </w:pPr>
            <w:r>
              <w:t xml:space="preserve">Comparable POI growth</w:t>
            </w:r>
          </w:p>
        </w:tc>
        <w:tc>
          <w:tcPr/>
          <w:p>
            <w:pPr>
              <w:pStyle w:val="Compact"/>
              <w:jc w:val="right"/>
            </w:pPr>
            <w:r>
              <w:rPr>
                <w:b/>
                <w:bCs/>
              </w:rPr>
              <w:t xml:space="preserve">4.7% GAAP</w:t>
            </w:r>
            <w:r>
              <w:t xml:space="preserve">,</w:t>
            </w:r>
            <w:r>
              <w:t xml:space="preserve"> </w:t>
            </w:r>
            <w:r>
              <w:rPr>
                <w:b/>
                <w:bCs/>
              </w:rPr>
              <w:t xml:space="preserve">5.1% adjusted cash</w:t>
            </w:r>
          </w:p>
        </w:tc>
        <w:tc>
          <w:tcPr/>
          <w:p>
            <w:pPr>
              <w:pStyle w:val="Compact"/>
            </w:pPr>
            <w:r>
              <w:t xml:space="preserve">Management indicated 2Q/3Q GAAP growth could fall toward the</w:t>
            </w:r>
            <w:r>
              <w:t xml:space="preserve"> </w:t>
            </w:r>
            <w:r>
              <w:rPr>
                <w:b/>
                <w:bCs/>
              </w:rPr>
              <w:t xml:space="preserve">~2%</w:t>
            </w:r>
            <w:r>
              <w:t xml:space="preserve"> </w:t>
            </w:r>
            <w:r>
              <w:t xml:space="preserve">area before reaccelerating in 4Q</w:t>
            </w:r>
          </w:p>
        </w:tc>
      </w:tr>
      <w:tr>
        <w:tc>
          <w:tcPr/>
          <w:p>
            <w:pPr>
              <w:pStyle w:val="Compact"/>
            </w:pPr>
            <w:r>
              <w:t xml:space="preserve">Portfolio occupancy</w:t>
            </w:r>
          </w:p>
        </w:tc>
        <w:tc>
          <w:tcPr/>
          <w:p>
            <w:pPr>
              <w:pStyle w:val="Compact"/>
              <w:jc w:val="right"/>
            </w:pPr>
            <w:r>
              <w:rPr>
                <w:b/>
                <w:bCs/>
              </w:rPr>
              <w:t xml:space="preserve">93.8%</w:t>
            </w:r>
          </w:p>
        </w:tc>
        <w:tc>
          <w:tcPr/>
          <w:p>
            <w:pPr>
              <w:pStyle w:val="Compact"/>
            </w:pPr>
            <w:r>
              <w:t xml:space="preserve">Expected to remain around the mid-to-upper 93% range before rising late in 2026</w:t>
            </w:r>
          </w:p>
        </w:tc>
      </w:tr>
      <w:tr>
        <w:tc>
          <w:tcPr/>
          <w:p>
            <w:pPr>
              <w:pStyle w:val="Compact"/>
            </w:pPr>
            <w:r>
              <w:t xml:space="preserve">Leased rate</w:t>
            </w:r>
          </w:p>
        </w:tc>
        <w:tc>
          <w:tcPr/>
          <w:p>
            <w:pPr>
              <w:pStyle w:val="Compact"/>
              <w:jc w:val="right"/>
            </w:pPr>
            <w:r>
              <w:rPr>
                <w:b/>
                <w:bCs/>
              </w:rPr>
              <w:t xml:space="preserve">96.1%</w:t>
            </w:r>
          </w:p>
        </w:tc>
        <w:tc>
          <w:tcPr/>
          <w:p>
            <w:pPr>
              <w:pStyle w:val="Compact"/>
            </w:pPr>
            <w:r>
              <w:t xml:space="preserve">Watch for further expansion and conversion to occupancy</w:t>
            </w:r>
          </w:p>
        </w:tc>
      </w:tr>
      <w:tr>
        <w:tc>
          <w:tcPr/>
          <w:p>
            <w:pPr>
              <w:pStyle w:val="Compact"/>
            </w:pPr>
            <w:r>
              <w:t xml:space="preserve">Comparable leasing spreads</w:t>
            </w:r>
          </w:p>
        </w:tc>
        <w:tc>
          <w:tcPr/>
          <w:p>
            <w:pPr>
              <w:pStyle w:val="Compact"/>
              <w:jc w:val="right"/>
            </w:pPr>
            <w:r>
              <w:rPr>
                <w:b/>
                <w:bCs/>
              </w:rPr>
              <w:t xml:space="preserve">13% cash</w:t>
            </w:r>
            <w:r>
              <w:t xml:space="preserve">,</w:t>
            </w:r>
            <w:r>
              <w:t xml:space="preserve"> </w:t>
            </w:r>
            <w:r>
              <w:rPr>
                <w:b/>
                <w:bCs/>
              </w:rPr>
              <w:t xml:space="preserve">23% straight-line</w:t>
            </w:r>
            <w:r>
              <w:t xml:space="preserve"> </w:t>
            </w:r>
            <w:r>
              <w:t xml:space="preserve">in 1Q</w:t>
            </w:r>
          </w:p>
        </w:tc>
        <w:tc>
          <w:tcPr/>
          <w:p>
            <w:pPr>
              <w:pStyle w:val="Compact"/>
            </w:pPr>
            <w:r>
              <w:t xml:space="preserve">Key read-through on embedded rent growth</w:t>
            </w:r>
          </w:p>
        </w:tc>
      </w:tr>
      <w:tr>
        <w:tc>
          <w:tcPr/>
          <w:p>
            <w:pPr>
              <w:pStyle w:val="Compact"/>
            </w:pPr>
            <w:r>
              <w:t xml:space="preserve">Signed-but-not-opened rent</w:t>
            </w:r>
          </w:p>
        </w:tc>
        <w:tc>
          <w:tcPr/>
          <w:p>
            <w:pPr>
              <w:pStyle w:val="Compact"/>
              <w:jc w:val="right"/>
            </w:pPr>
            <w:r>
              <w:rPr>
                <w:b/>
                <w:bCs/>
              </w:rPr>
              <w:t xml:space="preserve">$36 million</w:t>
            </w:r>
            <w:r>
              <w:t xml:space="preserve"> </w:t>
            </w:r>
            <w:r>
              <w:t xml:space="preserve">expected over the balance of 2026 and into 2027</w:t>
            </w:r>
          </w:p>
        </w:tc>
        <w:tc>
          <w:tcPr/>
          <w:p>
            <w:pPr>
              <w:pStyle w:val="Compact"/>
            </w:pPr>
            <w:r>
              <w:t xml:space="preserve">Important driver of the 4Q step-up and 2027 growth</w:t>
            </w:r>
          </w:p>
        </w:tc>
      </w:tr>
      <w:tr>
        <w:tc>
          <w:tcPr/>
          <w:p>
            <w:pPr>
              <w:pStyle w:val="Compact"/>
            </w:pPr>
            <w:r>
              <w:t xml:space="preserve">Leasing pipeline</w:t>
            </w:r>
          </w:p>
        </w:tc>
        <w:tc>
          <w:tcPr/>
          <w:p>
            <w:pPr>
              <w:pStyle w:val="Compact"/>
              <w:jc w:val="right"/>
            </w:pPr>
            <w:r>
              <w:t xml:space="preserve">More than</w:t>
            </w:r>
            <w:r>
              <w:t xml:space="preserve"> </w:t>
            </w:r>
            <w:r>
              <w:rPr>
                <w:b/>
                <w:bCs/>
              </w:rPr>
              <w:t xml:space="preserve">1.7 million sq. ft.</w:t>
            </w:r>
            <w:r>
              <w:t xml:space="preserve"> </w:t>
            </w:r>
            <w:r>
              <w:t xml:space="preserve">under negotiation</w:t>
            </w:r>
          </w:p>
        </w:tc>
        <w:tc>
          <w:tcPr/>
          <w:p>
            <w:pPr>
              <w:pStyle w:val="Compact"/>
            </w:pPr>
            <w:r>
              <w:t xml:space="preserve">Watch for continued deal velocity and quality</w:t>
            </w:r>
          </w:p>
        </w:tc>
      </w:tr>
    </w:tbl>
    <w:bookmarkStart w:id="10" w:name="X1a24167ba17326be625d1cfb659ccb6b7b69690"/>
    <w:p>
      <w:pPr>
        <w:pStyle w:val="Heading3"/>
      </w:pPr>
      <w:r>
        <w:t xml:space="preserve">Why a sequential FFO decline should not automatically be viewed negatively</w:t>
      </w:r>
    </w:p>
    <w:p>
      <w:pPr>
        <w:pStyle w:val="FirstParagraph"/>
      </w:pPr>
      <w:r>
        <w:t xml:space="preserve">The midpoint of the 2Q FFO outlook is below 1Q’s $1.88. That is largely expected and does</w:t>
      </w:r>
      <w:r>
        <w:t xml:space="preserve"> </w:t>
      </w:r>
      <w:r>
        <w:rPr>
          <w:b/>
          <w:bCs/>
        </w:rPr>
        <w:t xml:space="preserve">not</w:t>
      </w:r>
      <w:r>
        <w:t xml:space="preserve"> </w:t>
      </w:r>
      <w:r>
        <w:t xml:space="preserve">necessarily signal a softer core business. First-quarter results benefited from favorable timing, stronger-than-expected revenue, expense savings, and elevated termination fees. Meanwhile, the second quarter absorbs a refinancing headwind and early lease-up costs at The Blair residential project.</w:t>
      </w:r>
    </w:p>
    <w:p>
      <w:pPr>
        <w:pStyle w:val="BodyText"/>
      </w:pPr>
      <w:r>
        <w:t xml:space="preserve">More importantly, management’s stated cadence points to a back-half acceleration:</w:t>
      </w:r>
      <w:r>
        <w:t xml:space="preserve"> </w:t>
      </w:r>
      <w:r>
        <w:rPr>
          <w:b/>
          <w:bCs/>
        </w:rPr>
        <w:t xml:space="preserve">3Q Core FFO of</w:t>
      </w:r>
      <w:r>
        <w:rPr>
          <w:b/>
          <w:bCs/>
        </w:rPr>
        <w:t xml:space="preserve"> </w:t>
      </w:r>
      <m:oMath>
        <m:r>
          <m:t>1.84</m:t>
        </m:r>
        <m:r>
          <m:rPr>
            <m:sty m:val="p"/>
          </m:rPr>
          <m:t>–</m:t>
        </m:r>
      </m:oMath>
      <w:r>
        <w:rPr>
          <w:b/>
          <w:bCs/>
        </w:rPr>
        <w:t xml:space="preserve">1.87</w:t>
      </w:r>
      <w:r>
        <w:t xml:space="preserve">, followed by</w:t>
      </w:r>
      <w:r>
        <w:t xml:space="preserve"> </w:t>
      </w:r>
      <w:r>
        <w:rPr>
          <w:b/>
          <w:bCs/>
        </w:rPr>
        <w:t xml:space="preserve">low-to-mid $1.90s in 4Q</w:t>
      </w:r>
      <w:r>
        <w:t xml:space="preserve">, driven mainly by contractual rent commencements from already signed leases.</w:t>
      </w:r>
    </w:p>
    <w:p>
      <w:pPr>
        <w:pStyle w:val="BodyText"/>
      </w:pPr>
      <w:r>
        <w:t xml:space="preserve">At the midpoint of full-year guidance, FRT needs approximately</w:t>
      </w:r>
      <w:r>
        <w:t xml:space="preserve"> </w:t>
      </w:r>
      <m:oMath>
        <m:r>
          <m:t>3.78</m:t>
        </m:r>
        <m:r>
          <m:t>p</m:t>
        </m:r>
        <m:r>
          <m:t>e</m:t>
        </m:r>
        <m:r>
          <m:t>r</m:t>
        </m:r>
        <m:r>
          <m:t>s</m:t>
        </m:r>
        <m:r>
          <m:t>h</m:t>
        </m:r>
        <m:r>
          <m:t>a</m:t>
        </m:r>
        <m:r>
          <m:t>r</m:t>
        </m:r>
        <m:r>
          <m:t>e</m:t>
        </m:r>
        <m:r>
          <m:rPr>
            <m:sty m:val="p"/>
          </m:rPr>
          <m:t>*</m:t>
        </m:r>
        <m:r>
          <m:rPr>
            <m:sty m:val="p"/>
          </m:rPr>
          <m:t>*</m:t>
        </m:r>
        <m:r>
          <m:t>o</m:t>
        </m:r>
        <m:r>
          <m:t>f</m:t>
        </m:r>
        <m:r>
          <m:t>C</m:t>
        </m:r>
        <m:r>
          <m:t>o</m:t>
        </m:r>
        <m:r>
          <m:t>r</m:t>
        </m:r>
        <m:r>
          <m:t>e</m:t>
        </m:r>
        <m:r>
          <m:t>F</m:t>
        </m:r>
        <m:r>
          <m:t>F</m:t>
        </m:r>
        <m:r>
          <m:t>O</m:t>
        </m:r>
        <m:r>
          <m:t>i</m:t>
        </m:r>
        <m:r>
          <m:t>n</m:t>
        </m:r>
        <m:r>
          <m:t>t</m:t>
        </m:r>
        <m:r>
          <m:t>h</m:t>
        </m:r>
        <m:r>
          <m:t>e</m:t>
        </m:r>
        <m:r>
          <m:t>s</m:t>
        </m:r>
        <m:r>
          <m:t>e</m:t>
        </m:r>
        <m:r>
          <m:t>c</m:t>
        </m:r>
        <m:r>
          <m:t>o</m:t>
        </m:r>
        <m:r>
          <m:t>n</m:t>
        </m:r>
        <m:r>
          <m:t>d</m:t>
        </m:r>
        <m:r>
          <m:t>h</m:t>
        </m:r>
        <m:r>
          <m:t>a</m:t>
        </m:r>
        <m:r>
          <m:t>l</m:t>
        </m:r>
        <m:r>
          <m:t>f</m:t>
        </m:r>
        <m:r>
          <m:rPr>
            <m:sty m:val="p"/>
          </m:rPr>
          <m:t>,</m:t>
        </m:r>
        <m:r>
          <m:t>v</m:t>
        </m:r>
        <m:r>
          <m:t>e</m:t>
        </m:r>
        <m:r>
          <m:t>r</m:t>
        </m:r>
        <m:r>
          <m:t>s</m:t>
        </m:r>
        <m:r>
          <m:t>u</m:t>
        </m:r>
        <m:r>
          <m:t>s</m:t>
        </m:r>
        <m:r>
          <m:t>r</m:t>
        </m:r>
        <m:r>
          <m:t>o</m:t>
        </m:r>
        <m:r>
          <m:t>u</m:t>
        </m:r>
        <m:r>
          <m:t>g</m:t>
        </m:r>
        <m:r>
          <m:t>h</m:t>
        </m:r>
        <m:r>
          <m:t>l</m:t>
        </m:r>
        <m:r>
          <m:t>y</m:t>
        </m:r>
        <m:r>
          <m:rPr>
            <m:sty m:val="p"/>
          </m:rPr>
          <m:t>*</m:t>
        </m:r>
        <m:r>
          <m:rPr>
            <m:sty m:val="p"/>
          </m:rPr>
          <m:t>*</m:t>
        </m:r>
      </m:oMath>
      <w:r>
        <w:rPr>
          <w:b/>
          <w:bCs/>
        </w:rPr>
        <w:t xml:space="preserve">3.73</w:t>
      </w:r>
      <w:r>
        <w:t xml:space="preserve"> </w:t>
      </w:r>
      <w:r>
        <w:t xml:space="preserve">in the first half using the midpoint of 2Q guidance. That makes the quality and timing of rent commencements central to the 2Q discussion.</w:t>
      </w:r>
    </w:p>
    <w:p>
      <w:r>
        <w:pict>
          <v:rect style="width:0;height:1.5pt" o:hralign="center" o:hrstd="t" o:hr="t"/>
        </w:pict>
      </w:r>
    </w:p>
    <w:bookmarkEnd w:id="10"/>
    <w:bookmarkEnd w:id="11"/>
    <w:bookmarkStart w:id="17" w:name="the-most-important-items-to-watch"/>
    <w:p>
      <w:pPr>
        <w:pStyle w:val="Heading2"/>
      </w:pPr>
      <w:r>
        <w:t xml:space="preserve">The most important items to watch</w:t>
      </w:r>
    </w:p>
    <w:bookmarkStart w:id="12" w:name="X17fbb040ad55fd576bc75b362724e1303d6a774"/>
    <w:p>
      <w:pPr>
        <w:pStyle w:val="Heading3"/>
      </w:pPr>
      <w:r>
        <w:t xml:space="preserve">1. Occupancy: is the temporary midyear plateau playing out as planned?</w:t>
      </w:r>
    </w:p>
    <w:p>
      <w:pPr>
        <w:pStyle w:val="FirstParagraph"/>
      </w:pPr>
      <w:r>
        <w:t xml:space="preserve">FRT ended 1Q at</w:t>
      </w:r>
      <w:r>
        <w:t xml:space="preserve"> </w:t>
      </w:r>
      <w:r>
        <w:rPr>
          <w:b/>
          <w:bCs/>
        </w:rPr>
        <w:t xml:space="preserve">93.8% occupied</w:t>
      </w:r>
      <w:r>
        <w:t xml:space="preserve"> </w:t>
      </w:r>
      <w:r>
        <w:t xml:space="preserve">and</w:t>
      </w:r>
      <w:r>
        <w:t xml:space="preserve"> </w:t>
      </w:r>
      <w:r>
        <w:rPr>
          <w:b/>
          <w:bCs/>
        </w:rPr>
        <w:t xml:space="preserve">96.1% leased</w:t>
      </w:r>
      <w:r>
        <w:t xml:space="preserve">. The difference between those figures is meaningful: a substantial pool of executed leases has yet to begin paying rent.</w:t>
      </w:r>
    </w:p>
    <w:p>
      <w:pPr>
        <w:pStyle w:val="BodyText"/>
      </w:pPr>
      <w:r>
        <w:t xml:space="preserve">Management has been explicit that occupancy should remain relatively flat through the first three quarters, then rise to the</w:t>
      </w:r>
      <w:r>
        <w:t xml:space="preserve"> </w:t>
      </w:r>
      <w:r>
        <w:rPr>
          <w:b/>
          <w:bCs/>
        </w:rPr>
        <w:t xml:space="preserve">mid-to-upper 94% range by year-end</w:t>
      </w:r>
      <w:r>
        <w:t xml:space="preserve">. Therefore:</w:t>
      </w:r>
    </w:p>
    <w:p>
      <w:pPr>
        <w:pStyle w:val="Compact"/>
        <w:numPr>
          <w:ilvl w:val="0"/>
          <w:numId w:val="1002"/>
        </w:numPr>
      </w:pPr>
      <w:r>
        <w:rPr>
          <w:b/>
          <w:bCs/>
        </w:rPr>
        <w:t xml:space="preserve">In line:</w:t>
      </w:r>
      <w:r>
        <w:t xml:space="preserve"> </w:t>
      </w:r>
      <w:r>
        <w:t xml:space="preserve">occupancy remains around current levels while leasing stays strong.</w:t>
      </w:r>
    </w:p>
    <w:p>
      <w:pPr>
        <w:pStyle w:val="Compact"/>
        <w:numPr>
          <w:ilvl w:val="0"/>
          <w:numId w:val="1002"/>
        </w:numPr>
      </w:pPr>
      <w:r>
        <w:rPr>
          <w:b/>
          <w:bCs/>
        </w:rPr>
        <w:t xml:space="preserve">Positive:</w:t>
      </w:r>
      <w:r>
        <w:t xml:space="preserve"> </w:t>
      </w:r>
      <w:r>
        <w:t xml:space="preserve">better-than-expected occupancy or a larger-than-expected conversion of leased space into occupied space.</w:t>
      </w:r>
    </w:p>
    <w:p>
      <w:pPr>
        <w:pStyle w:val="Compact"/>
        <w:numPr>
          <w:ilvl w:val="0"/>
          <w:numId w:val="1002"/>
        </w:numPr>
      </w:pPr>
      <w:r>
        <w:rPr>
          <w:b/>
          <w:bCs/>
        </w:rPr>
        <w:t xml:space="preserve">Negative:</w:t>
      </w:r>
      <w:r>
        <w:t xml:space="preserve"> </w:t>
      </w:r>
      <w:r>
        <w:t xml:space="preserve">a decline in occupancy, slower conversion of signed leases, or commentary that pushes expected 4Q commencements into 2027.</w:t>
      </w:r>
    </w:p>
    <w:p>
      <w:pPr>
        <w:pStyle w:val="FirstParagraph"/>
      </w:pPr>
      <w:r>
        <w:t xml:space="preserve">This is the operational metric most directly tied to the anticipated fourth-quarter FFO acceleration.</w:t>
      </w:r>
    </w:p>
    <w:bookmarkEnd w:id="12"/>
    <w:bookmarkStart w:id="13" w:name="X7c55d00b24a0cb220b730111e809981a94b8eb7"/>
    <w:p>
      <w:pPr>
        <w:pStyle w:val="Heading3"/>
      </w:pPr>
      <w:r>
        <w:t xml:space="preserve">2. Comparable POI growth: investors should expect moderation, but not deterioration</w:t>
      </w:r>
    </w:p>
    <w:p>
      <w:pPr>
        <w:pStyle w:val="FirstParagraph"/>
      </w:pPr>
      <w:r>
        <w:t xml:space="preserve">First-quarter comparable POI growth of</w:t>
      </w:r>
      <w:r>
        <w:t xml:space="preserve"> </w:t>
      </w:r>
      <w:r>
        <w:rPr>
          <w:b/>
          <w:bCs/>
        </w:rPr>
        <w:t xml:space="preserve">4.7%</w:t>
      </w:r>
      <w:r>
        <w:t xml:space="preserve"> </w:t>
      </w:r>
      <w:r>
        <w:t xml:space="preserve">was very strong, though it benefited from factors that are unlikely to recur at the same level, including termination fees and timing. Management indicated that second- and third-quarter GAAP comparable growth could run closer to the</w:t>
      </w:r>
      <w:r>
        <w:t xml:space="preserve"> </w:t>
      </w:r>
      <w:r>
        <w:rPr>
          <w:b/>
          <w:bCs/>
        </w:rPr>
        <w:t xml:space="preserve">2% range</w:t>
      </w:r>
      <w:r>
        <w:t xml:space="preserve">, then rebound toward roughly</w:t>
      </w:r>
      <w:r>
        <w:t xml:space="preserve"> </w:t>
      </w:r>
      <w:r>
        <w:rPr>
          <w:b/>
          <w:bCs/>
        </w:rPr>
        <w:t xml:space="preserve">3.5%–4.0%</w:t>
      </w:r>
      <w:r>
        <w:t xml:space="preserve"> </w:t>
      </w:r>
      <w:r>
        <w:t xml:space="preserve">in 4Q as signed leases commence.</w:t>
      </w:r>
    </w:p>
    <w:p>
      <w:pPr>
        <w:pStyle w:val="BodyText"/>
      </w:pPr>
      <w:r>
        <w:t xml:space="preserve">The important distinction is between:</w:t>
      </w:r>
    </w:p>
    <w:p>
      <w:pPr>
        <w:pStyle w:val="Compact"/>
        <w:numPr>
          <w:ilvl w:val="0"/>
          <w:numId w:val="1003"/>
        </w:numPr>
      </w:pPr>
      <w:r>
        <w:rPr>
          <w:b/>
          <w:bCs/>
        </w:rPr>
        <w:t xml:space="preserve">Expected cadence-related moderation</w:t>
      </w:r>
      <w:r>
        <w:t xml:space="preserve">, which should be neutral; and</w:t>
      </w:r>
    </w:p>
    <w:p>
      <w:pPr>
        <w:pStyle w:val="Compact"/>
        <w:numPr>
          <w:ilvl w:val="0"/>
          <w:numId w:val="1003"/>
        </w:numPr>
      </w:pPr>
      <w:r>
        <w:rPr>
          <w:b/>
          <w:bCs/>
        </w:rPr>
        <w:t xml:space="preserve">A fundamental slowdown</w:t>
      </w:r>
      <w:r>
        <w:t xml:space="preserve"> </w:t>
      </w:r>
      <w:r>
        <w:t xml:space="preserve">in rents, tenant demand, collections, or occupancy, which would be more concerning.</w:t>
      </w:r>
    </w:p>
    <w:p>
      <w:pPr>
        <w:pStyle w:val="FirstParagraph"/>
      </w:pPr>
      <w:r>
        <w:t xml:space="preserve">Cash-basis POI growth should run roughly</w:t>
      </w:r>
      <w:r>
        <w:t xml:space="preserve"> </w:t>
      </w:r>
      <w:r>
        <w:rPr>
          <w:b/>
          <w:bCs/>
        </w:rPr>
        <w:t xml:space="preserve">40–50 basis points above</w:t>
      </w:r>
      <w:r>
        <w:t xml:space="preserve"> </w:t>
      </w:r>
      <w:r>
        <w:t xml:space="preserve">GAAP comparable growth, according to management’s prior commentary.</w:t>
      </w:r>
    </w:p>
    <w:bookmarkEnd w:id="13"/>
    <w:bookmarkStart w:id="14" w:name="X7e206484c4fc029f3138e77671fee1804a3238b"/>
    <w:p>
      <w:pPr>
        <w:pStyle w:val="Heading3"/>
      </w:pPr>
      <w:r>
        <w:t xml:space="preserve">3. Leasing economics: can FRT sustain double-digit cash rent spreads?</w:t>
      </w:r>
    </w:p>
    <w:p>
      <w:pPr>
        <w:pStyle w:val="FirstParagraph"/>
      </w:pPr>
      <w:r>
        <w:t xml:space="preserve">The investment case rests heavily on FRT’s ability to convert high-quality locations, affluent trade areas, and tenant productivity into higher rents. In 1Q, FRT signed 101 comparable leases covering 649,078 square feet at:</w:t>
      </w:r>
    </w:p>
    <w:p>
      <w:pPr>
        <w:pStyle w:val="Compact"/>
        <w:numPr>
          <w:ilvl w:val="0"/>
          <w:numId w:val="1004"/>
        </w:numPr>
      </w:pPr>
      <w:r>
        <w:rPr>
          <w:b/>
          <w:bCs/>
        </w:rPr>
        <w:t xml:space="preserve">13% cash-basis rent growth</w:t>
      </w:r>
    </w:p>
    <w:p>
      <w:pPr>
        <w:pStyle w:val="Compact"/>
        <w:numPr>
          <w:ilvl w:val="0"/>
          <w:numId w:val="1004"/>
        </w:numPr>
      </w:pPr>
      <w:r>
        <w:rPr>
          <w:b/>
          <w:bCs/>
        </w:rPr>
        <w:t xml:space="preserve">23% straight-line rent growth</w:t>
      </w:r>
    </w:p>
    <w:p>
      <w:pPr>
        <w:pStyle w:val="Compact"/>
        <w:numPr>
          <w:ilvl w:val="0"/>
          <w:numId w:val="1004"/>
        </w:numPr>
      </w:pPr>
      <w:r>
        <w:rPr>
          <w:b/>
          <w:bCs/>
        </w:rPr>
        <w:t xml:space="preserve">16% trailing-12-month cash spreads</w:t>
      </w:r>
    </w:p>
    <w:p>
      <w:pPr>
        <w:pStyle w:val="Compact"/>
        <w:numPr>
          <w:ilvl w:val="0"/>
          <w:numId w:val="1004"/>
        </w:numPr>
      </w:pPr>
      <w:r>
        <w:rPr>
          <w:b/>
          <w:bCs/>
        </w:rPr>
        <w:t xml:space="preserve">28% trailing-12-month straight-line spreads</w:t>
      </w:r>
    </w:p>
    <w:p>
      <w:pPr>
        <w:pStyle w:val="FirstParagraph"/>
      </w:pPr>
      <w:r>
        <w:t xml:space="preserve">Investors should focus on whether 2Q leasing volumes and spreads remain consistent with this trajectory. A modest normalization would be unsurprising; the more important issue is whether FRT continues to demonstrate pricing power while maintaining its pipeline.</w:t>
      </w:r>
    </w:p>
    <w:p>
      <w:pPr>
        <w:pStyle w:val="BodyText"/>
      </w:pPr>
      <w:r>
        <w:t xml:space="preserve">Management has emphasized that small-shop space is especially attractive, with the small-shop leased rate at</w:t>
      </w:r>
      <w:r>
        <w:t xml:space="preserve"> </w:t>
      </w:r>
      <w:r>
        <w:rPr>
          <w:b/>
          <w:bCs/>
        </w:rPr>
        <w:t xml:space="preserve">93.8%</w:t>
      </w:r>
      <w:r>
        <w:t xml:space="preserve"> </w:t>
      </w:r>
      <w:r>
        <w:t xml:space="preserve">at the end of 1Q and further room to raise rents.</w:t>
      </w:r>
    </w:p>
    <w:bookmarkEnd w:id="14"/>
    <w:bookmarkStart w:id="15" w:name="X84edb0ec60e5f34b0cb7ee6272faf750a131249"/>
    <w:p>
      <w:pPr>
        <w:pStyle w:val="Heading3"/>
      </w:pPr>
      <w:r>
        <w:t xml:space="preserve">4. Capital recycling: the likely upside lever, but also a key execution variable</w:t>
      </w:r>
    </w:p>
    <w:p>
      <w:pPr>
        <w:pStyle w:val="FirstParagraph"/>
      </w:pPr>
      <w:r>
        <w:t xml:space="preserve">FRT’s strategy is to monetize mature, lower-growth assets at relatively low cap rates and reinvest in properties with operational, leasing, redevelopment, or densification upside.</w:t>
      </w:r>
    </w:p>
    <w:p>
      <w:pPr>
        <w:pStyle w:val="BodyText"/>
      </w:pPr>
      <w:r>
        <w:t xml:space="preserve">At its May Investor Day, the company identified:</w:t>
      </w:r>
    </w:p>
    <w:p>
      <w:pPr>
        <w:pStyle w:val="Compact"/>
        <w:numPr>
          <w:ilvl w:val="0"/>
          <w:numId w:val="1005"/>
        </w:numPr>
      </w:pPr>
      <w:r>
        <w:t xml:space="preserve">Approximately</w:t>
      </w:r>
      <w:r>
        <w:t xml:space="preserve"> </w:t>
      </w:r>
      <w:r>
        <w:rPr>
          <w:b/>
          <w:bCs/>
        </w:rPr>
        <w:t xml:space="preserve">$1.5 billion</w:t>
      </w:r>
      <w:r>
        <w:t xml:space="preserve"> </w:t>
      </w:r>
      <w:r>
        <w:t xml:space="preserve">of nearer-term disposition potential;</w:t>
      </w:r>
    </w:p>
    <w:p>
      <w:pPr>
        <w:pStyle w:val="Compact"/>
        <w:numPr>
          <w:ilvl w:val="0"/>
          <w:numId w:val="1005"/>
        </w:numPr>
      </w:pPr>
      <w:r>
        <w:t xml:space="preserve">A</w:t>
      </w:r>
      <w:r>
        <w:t xml:space="preserve"> </w:t>
      </w:r>
      <w:r>
        <w:rPr>
          <w:b/>
          <w:bCs/>
        </w:rPr>
        <w:t xml:space="preserve">$1.4 billion</w:t>
      </w:r>
      <w:r>
        <w:t xml:space="preserve"> </w:t>
      </w:r>
      <w:r>
        <w:t xml:space="preserve">acquisition pipeline;</w:t>
      </w:r>
    </w:p>
    <w:p>
      <w:pPr>
        <w:pStyle w:val="Compact"/>
        <w:numPr>
          <w:ilvl w:val="0"/>
          <w:numId w:val="1005"/>
        </w:numPr>
      </w:pPr>
      <w:r>
        <w:t xml:space="preserve">A target to sell assets at roughly</w:t>
      </w:r>
      <w:r>
        <w:t xml:space="preserve"> </w:t>
      </w:r>
      <w:r>
        <w:rPr>
          <w:b/>
          <w:bCs/>
        </w:rPr>
        <w:t xml:space="preserve">5%–6% cap rates</w:t>
      </w:r>
      <w:r>
        <w:t xml:space="preserve"> </w:t>
      </w:r>
      <w:r>
        <w:t xml:space="preserve">and acquire at higher initial yields with greater embedded growth;</w:t>
      </w:r>
    </w:p>
    <w:p>
      <w:pPr>
        <w:pStyle w:val="Compact"/>
        <w:numPr>
          <w:ilvl w:val="0"/>
          <w:numId w:val="1005"/>
        </w:numPr>
      </w:pPr>
      <w:r>
        <w:t xml:space="preserve">A longer-term pool of potentially monetizable assets beyond the initial $1.5 billion.</w:t>
      </w:r>
    </w:p>
    <w:p>
      <w:pPr>
        <w:pStyle w:val="FirstParagraph"/>
      </w:pPr>
      <w:r>
        <w:t xml:space="preserve">In 1Q, FRT sold Misora at Santana Row and Courthouse Center for combined proceeds of roughly</w:t>
      </w:r>
      <w:r>
        <w:t xml:space="preserve"> </w:t>
      </w:r>
      <m:oMath>
        <m:r>
          <m:t>159</m:t>
        </m:r>
        <m:r>
          <m:t>m</m:t>
        </m:r>
        <m:r>
          <m:t>i</m:t>
        </m:r>
        <m:r>
          <m:t>l</m:t>
        </m:r>
        <m:r>
          <m:t>l</m:t>
        </m:r>
        <m:r>
          <m:t>i</m:t>
        </m:r>
        <m:r>
          <m:t>o</m:t>
        </m:r>
        <m:r>
          <m:t>n</m:t>
        </m:r>
        <m:r>
          <m:rPr>
            <m:sty m:val="p"/>
          </m:rPr>
          <m:t>*</m:t>
        </m:r>
        <m:r>
          <m:rPr>
            <m:sty m:val="p"/>
          </m:rPr>
          <m:t>*</m:t>
        </m:r>
        <m:r>
          <m:rPr>
            <m:sty m:val="p"/>
          </m:rPr>
          <m:t>,</m:t>
        </m:r>
        <m:r>
          <m:t>a</m:t>
        </m:r>
        <m:r>
          <m:t>t</m:t>
        </m:r>
        <m:r>
          <m:t>a</m:t>
        </m:r>
        <m:r>
          <m:t>b</m:t>
        </m:r>
        <m:r>
          <m:t>l</m:t>
        </m:r>
        <m:r>
          <m:t>e</m:t>
        </m:r>
        <m:r>
          <m:t>n</m:t>
        </m:r>
        <m:r>
          <m:t>d</m:t>
        </m:r>
        <m:r>
          <m:t>e</m:t>
        </m:r>
        <m:r>
          <m:t>d</m:t>
        </m:r>
        <m:r>
          <m:t>c</m:t>
        </m:r>
        <m:r>
          <m:t>a</m:t>
        </m:r>
        <m:r>
          <m:t>p</m:t>
        </m:r>
        <m:r>
          <m:t>r</m:t>
        </m:r>
        <m:r>
          <m:t>a</m:t>
        </m:r>
        <m:r>
          <m:t>t</m:t>
        </m:r>
        <m:r>
          <m:t>e</m:t>
        </m:r>
        <m:r>
          <m:t>i</m:t>
        </m:r>
        <m:r>
          <m:t>n</m:t>
        </m:r>
        <m:r>
          <m:t>t</m:t>
        </m:r>
        <m:r>
          <m:t>h</m:t>
        </m:r>
        <m:r>
          <m:t>e</m:t>
        </m:r>
        <m:r>
          <m:t>m</m:t>
        </m:r>
        <m:r>
          <m:t>i</m:t>
        </m:r>
        <m:r>
          <m:t>d</m:t>
        </m:r>
        <m:r>
          <m:rPr>
            <m:sty m:val="p"/>
          </m:rPr>
          <m:t>−</m:t>
        </m:r>
        <m:r>
          <m:t>4</m:t>
        </m:r>
      </m:oMath>
      <w:r>
        <w:rPr>
          <w:b/>
          <w:bCs/>
        </w:rPr>
        <w:t xml:space="preserve">92 million</w:t>
      </w:r>
      <w:r>
        <w:t xml:space="preserve">.</w:t>
      </w:r>
    </w:p>
    <w:p>
      <w:pPr>
        <w:pStyle w:val="BodyText"/>
      </w:pPr>
      <w:r>
        <w:t xml:space="preserve">For 2Q, investors should ask:</w:t>
      </w:r>
    </w:p>
    <w:p>
      <w:pPr>
        <w:pStyle w:val="Compact"/>
        <w:numPr>
          <w:ilvl w:val="0"/>
          <w:numId w:val="1006"/>
        </w:numPr>
      </w:pPr>
      <w:r>
        <w:t xml:space="preserve">Did the additional</w:t>
      </w:r>
      <w:r>
        <w:t xml:space="preserve"> </w:t>
      </w:r>
      <w:r>
        <w:rPr>
          <w:b/>
          <w:bCs/>
        </w:rPr>
        <w:t xml:space="preserve">$66 million</w:t>
      </w:r>
      <w:r>
        <w:t xml:space="preserve"> </w:t>
      </w:r>
      <w:r>
        <w:t xml:space="preserve">of dispositions in process at the end of 1Q close?</w:t>
      </w:r>
    </w:p>
    <w:p>
      <w:pPr>
        <w:pStyle w:val="Compact"/>
        <w:numPr>
          <w:ilvl w:val="0"/>
          <w:numId w:val="1006"/>
        </w:numPr>
      </w:pPr>
      <w:r>
        <w:t xml:space="preserve">Has FRT added acquisitions that meet its return thresholds?</w:t>
      </w:r>
    </w:p>
    <w:p>
      <w:pPr>
        <w:pStyle w:val="Compact"/>
        <w:numPr>
          <w:ilvl w:val="0"/>
          <w:numId w:val="1006"/>
        </w:numPr>
      </w:pPr>
      <w:r>
        <w:t xml:space="preserve">Are acquisition yields and disposition pricing still supportive of accretive recycling?</w:t>
      </w:r>
    </w:p>
    <w:p>
      <w:pPr>
        <w:pStyle w:val="Compact"/>
        <w:numPr>
          <w:ilvl w:val="0"/>
          <w:numId w:val="1006"/>
        </w:numPr>
      </w:pPr>
      <w:r>
        <w:t xml:space="preserve">Does management’s pipeline commentary remain constructive amid interest-rate and capital-market volatility?</w:t>
      </w:r>
    </w:p>
    <w:p>
      <w:pPr>
        <w:pStyle w:val="FirstParagraph"/>
      </w:pPr>
      <w:r>
        <w:t xml:space="preserve">A meaningful, well-matched acquisition/disposition announcement could support a guidance increase later in the year. Conversely, a slower transaction environment is not necessarily bad—but it would reduce a potential upside lever.</w:t>
      </w:r>
    </w:p>
    <w:bookmarkEnd w:id="15"/>
    <w:bookmarkStart w:id="16" w:name="Xbd75c20557ea165c63acbb336fd0d6dc4386039"/>
    <w:p>
      <w:pPr>
        <w:pStyle w:val="Heading3"/>
      </w:pPr>
      <w:r>
        <w:t xml:space="preserve">5. Development and mixed-use monetization: long-dated, but increasingly relevant</w:t>
      </w:r>
    </w:p>
    <w:p>
      <w:pPr>
        <w:pStyle w:val="FirstParagraph"/>
      </w:pPr>
      <w:r>
        <w:t xml:space="preserve">FRT has a differentiated mixed-use platform, especially at Santana Row, Assembly Row, and Pike &amp; Rose. The company expects its active residential development pipeline to add future income while keeping project-level risk contained.</w:t>
      </w:r>
    </w:p>
    <w:p>
      <w:pPr>
        <w:pStyle w:val="BodyText"/>
      </w:pPr>
      <w:r>
        <w:t xml:space="preserve">Major projects include:</w:t>
      </w:r>
    </w:p>
    <w:p>
      <w:pPr>
        <w:pStyle w:val="Compact"/>
        <w:numPr>
          <w:ilvl w:val="0"/>
          <w:numId w:val="1007"/>
        </w:numPr>
      </w:pPr>
      <w:r>
        <w:rPr>
          <w:b/>
          <w:bCs/>
        </w:rPr>
        <w:t xml:space="preserve">The Blair at Bala Cynwyd:</w:t>
      </w:r>
      <w:r>
        <w:t xml:space="preserve"> </w:t>
      </w:r>
      <w:r>
        <w:t xml:space="preserve">217 units, delivered earlier in 2026 and in lease-up;</w:t>
      </w:r>
    </w:p>
    <w:p>
      <w:pPr>
        <w:pStyle w:val="Compact"/>
        <w:numPr>
          <w:ilvl w:val="0"/>
          <w:numId w:val="1007"/>
        </w:numPr>
      </w:pPr>
      <w:r>
        <w:rPr>
          <w:b/>
          <w:bCs/>
        </w:rPr>
        <w:t xml:space="preserve">301 Washington Street, Hoboken:</w:t>
      </w:r>
      <w:r>
        <w:t xml:space="preserve"> </w:t>
      </w:r>
      <w:r>
        <w:t xml:space="preserve">45 units, expected to deliver in early 2027;</w:t>
      </w:r>
    </w:p>
    <w:p>
      <w:pPr>
        <w:pStyle w:val="Compact"/>
        <w:numPr>
          <w:ilvl w:val="0"/>
          <w:numId w:val="1007"/>
        </w:numPr>
      </w:pPr>
      <w:r>
        <w:rPr>
          <w:b/>
          <w:bCs/>
        </w:rPr>
        <w:t xml:space="preserve">Lot 12 at Santana Row:</w:t>
      </w:r>
      <w:r>
        <w:t xml:space="preserve"> </w:t>
      </w:r>
      <w:r>
        <w:t xml:space="preserve">258 units, expected in 2027;</w:t>
      </w:r>
    </w:p>
    <w:p>
      <w:pPr>
        <w:pStyle w:val="Compact"/>
        <w:numPr>
          <w:ilvl w:val="0"/>
          <w:numId w:val="1007"/>
        </w:numPr>
      </w:pPr>
      <w:r>
        <w:rPr>
          <w:b/>
          <w:bCs/>
        </w:rPr>
        <w:t xml:space="preserve">Willow Grove:</w:t>
      </w:r>
      <w:r>
        <w:t xml:space="preserve"> </w:t>
      </w:r>
      <w:r>
        <w:t xml:space="preserve">261 units, expected in 2028.</w:t>
      </w:r>
    </w:p>
    <w:p>
      <w:pPr>
        <w:pStyle w:val="FirstParagraph"/>
      </w:pPr>
      <w:r>
        <w:t xml:space="preserve">Management previously cited nearly</w:t>
      </w:r>
      <w:r>
        <w:t xml:space="preserve"> </w:t>
      </w:r>
      <w:r>
        <w:rPr>
          <w:b/>
          <w:bCs/>
        </w:rPr>
        <w:t xml:space="preserve">800 units</w:t>
      </w:r>
      <w:r>
        <w:t xml:space="preserve"> </w:t>
      </w:r>
      <w:r>
        <w:t xml:space="preserve">across several projects that could generate approximately</w:t>
      </w:r>
      <w:r>
        <w:t xml:space="preserve"> </w:t>
      </w:r>
      <w:r>
        <w:rPr>
          <w:b/>
          <w:bCs/>
        </w:rPr>
        <w:t xml:space="preserve">$27 million</w:t>
      </w:r>
      <w:r>
        <w:t xml:space="preserve"> </w:t>
      </w:r>
      <w:r>
        <w:t xml:space="preserve">of stabilized incremental operating income over the next several years.</w:t>
      </w:r>
    </w:p>
    <w:p>
      <w:pPr>
        <w:pStyle w:val="BodyText"/>
      </w:pPr>
      <w:r>
        <w:t xml:space="preserve">This is not a near-term 2Q earnings driver, but leasing progress at The Blair, construction costs, delivery schedules, and any new densification plans are relevant to the credibility of FRT’s 2027–28 growth framework.</w:t>
      </w:r>
    </w:p>
    <w:p>
      <w:r>
        <w:pict>
          <v:rect style="width:0;height:1.5pt" o:hralign="center" o:hrstd="t" o:hr="t"/>
        </w:pict>
      </w:r>
    </w:p>
    <w:bookmarkEnd w:id="16"/>
    <w:bookmarkEnd w:id="17"/>
    <w:bookmarkStart w:id="21" w:name="X03d106387140160f7194cbf00cf5d4b16d31af0"/>
    <w:p>
      <w:pPr>
        <w:pStyle w:val="Heading2"/>
      </w:pPr>
      <w:r>
        <w:t xml:space="preserve">Guidance: what would constitute a good, great, or disappointing outcome?</w:t>
      </w:r>
    </w:p>
    <w:bookmarkStart w:id="18" w:name="Xd4fa1457912f5ec296b7302eefca625212652cf"/>
    <w:p>
      <w:pPr>
        <w:pStyle w:val="Heading3"/>
      </w:pPr>
      <w:r>
        <w:t xml:space="preserve">Base case: reaffirm full-year Core FFO guidance of</w:t>
      </w:r>
      <w:r>
        <w:t xml:space="preserve"> </w:t>
      </w:r>
      <m:oMath>
        <m:r>
          <m:t>7.46</m:t>
        </m:r>
        <m:r>
          <m:rPr>
            <m:sty m:val="p"/>
          </m:rPr>
          <m:t>–</m:t>
        </m:r>
      </m:oMath>
      <w:r>
        <w:t xml:space="preserve">7.55</w:t>
      </w:r>
    </w:p>
    <w:p>
      <w:pPr>
        <w:pStyle w:val="FirstParagraph"/>
      </w:pPr>
      <w:r>
        <w:t xml:space="preserve">A reaffirmation would be consistent with management’s stated quarterly cadence. Given 1Q’s strong start, this should be viewed as a fundamentally sound outcome if operating KPIs remain on plan.</w:t>
      </w:r>
    </w:p>
    <w:bookmarkEnd w:id="18"/>
    <w:bookmarkStart w:id="19" w:name="X754e27eab4815c1bab73f10e49f3e48aeb3766c"/>
    <w:p>
      <w:pPr>
        <w:pStyle w:val="Heading3"/>
      </w:pPr>
      <w:r>
        <w:t xml:space="preserve">Bull case: raise the low end or midpoint of guidance</w:t>
      </w:r>
    </w:p>
    <w:p>
      <w:pPr>
        <w:pStyle w:val="FirstParagraph"/>
      </w:pPr>
      <w:r>
        <w:t xml:space="preserve">Potential ingredients:</w:t>
      </w:r>
    </w:p>
    <w:p>
      <w:pPr>
        <w:pStyle w:val="Compact"/>
        <w:numPr>
          <w:ilvl w:val="0"/>
          <w:numId w:val="1008"/>
        </w:numPr>
      </w:pPr>
      <w:r>
        <w:t xml:space="preserve">Better occupancy conversion or earlier rent commencements;</w:t>
      </w:r>
    </w:p>
    <w:p>
      <w:pPr>
        <w:pStyle w:val="Compact"/>
        <w:numPr>
          <w:ilvl w:val="0"/>
          <w:numId w:val="1008"/>
        </w:numPr>
      </w:pPr>
      <w:r>
        <w:t xml:space="preserve">Comparable POI above the expected 2Q cadence;</w:t>
      </w:r>
    </w:p>
    <w:p>
      <w:pPr>
        <w:pStyle w:val="Compact"/>
        <w:numPr>
          <w:ilvl w:val="0"/>
          <w:numId w:val="1008"/>
        </w:numPr>
      </w:pPr>
      <w:r>
        <w:t xml:space="preserve">Additional accretive acquisitions;</w:t>
      </w:r>
    </w:p>
    <w:p>
      <w:pPr>
        <w:pStyle w:val="Compact"/>
        <w:numPr>
          <w:ilvl w:val="0"/>
          <w:numId w:val="1008"/>
        </w:numPr>
      </w:pPr>
      <w:r>
        <w:t xml:space="preserve">Incremental disposition gains and favorable reinvestment;</w:t>
      </w:r>
    </w:p>
    <w:p>
      <w:pPr>
        <w:pStyle w:val="Compact"/>
        <w:numPr>
          <w:ilvl w:val="0"/>
          <w:numId w:val="1008"/>
        </w:numPr>
      </w:pPr>
      <w:r>
        <w:t xml:space="preserve">Continued strength in ancillary income, parking, or termination fees.</w:t>
      </w:r>
    </w:p>
    <w:p>
      <w:pPr>
        <w:pStyle w:val="FirstParagraph"/>
      </w:pPr>
      <w:r>
        <w:t xml:space="preserve">Management has been optimistic about the business but has also been careful not to pre-commit to a future guidance increase. A raise would likely be the clearest positive surprise.</w:t>
      </w:r>
    </w:p>
    <w:bookmarkEnd w:id="19"/>
    <w:bookmarkStart w:id="20" w:name="Xdb16f923e6865ec6949e38f70ad71ce1d4ec9db"/>
    <w:p>
      <w:pPr>
        <w:pStyle w:val="Heading3"/>
      </w:pPr>
      <w:r>
        <w:t xml:space="preserve">Bear case: guidance maintained, but with weaker underlying indicators</w:t>
      </w:r>
    </w:p>
    <w:p>
      <w:pPr>
        <w:pStyle w:val="FirstParagraph"/>
      </w:pPr>
      <w:r>
        <w:t xml:space="preserve">The market could react poorly if FRT maintains the annual range only because of 1Q outperformance while revealing:</w:t>
      </w:r>
    </w:p>
    <w:p>
      <w:pPr>
        <w:pStyle w:val="Compact"/>
        <w:numPr>
          <w:ilvl w:val="0"/>
          <w:numId w:val="1009"/>
        </w:numPr>
      </w:pPr>
      <w:r>
        <w:t xml:space="preserve">Softer leasing spreads;</w:t>
      </w:r>
    </w:p>
    <w:p>
      <w:pPr>
        <w:pStyle w:val="Compact"/>
        <w:numPr>
          <w:ilvl w:val="0"/>
          <w:numId w:val="1009"/>
        </w:numPr>
      </w:pPr>
      <w:r>
        <w:t xml:space="preserve">Occupancy pressure beyond prior expectations;</w:t>
      </w:r>
    </w:p>
    <w:p>
      <w:pPr>
        <w:pStyle w:val="Compact"/>
        <w:numPr>
          <w:ilvl w:val="0"/>
          <w:numId w:val="1009"/>
        </w:numPr>
      </w:pPr>
      <w:r>
        <w:t xml:space="preserve">Delayed openings or rent commencements;</w:t>
      </w:r>
    </w:p>
    <w:p>
      <w:pPr>
        <w:pStyle w:val="Compact"/>
        <w:numPr>
          <w:ilvl w:val="0"/>
          <w:numId w:val="1009"/>
        </w:numPr>
      </w:pPr>
      <w:r>
        <w:t xml:space="preserve">A weaker credit/collections outlook;</w:t>
      </w:r>
    </w:p>
    <w:p>
      <w:pPr>
        <w:pStyle w:val="Compact"/>
        <w:numPr>
          <w:ilvl w:val="0"/>
          <w:numId w:val="1009"/>
        </w:numPr>
      </w:pPr>
      <w:r>
        <w:t xml:space="preserve">Less attractive acquisition or disposition economics;</w:t>
      </w:r>
    </w:p>
    <w:p>
      <w:pPr>
        <w:pStyle w:val="Compact"/>
        <w:numPr>
          <w:ilvl w:val="0"/>
          <w:numId w:val="1009"/>
        </w:numPr>
      </w:pPr>
      <w:r>
        <w:t xml:space="preserve">Increased development costs or delays.</w:t>
      </w:r>
    </w:p>
    <w:p>
      <w:r>
        <w:pict>
          <v:rect style="width:0;height:1.5pt" o:hralign="center" o:hrstd="t" o:hr="t"/>
        </w:pict>
      </w:r>
    </w:p>
    <w:bookmarkEnd w:id="20"/>
    <w:bookmarkEnd w:id="21"/>
    <w:bookmarkStart w:id="22" w:name="X333f57cb3905e30050f07affdea730f1512ded5"/>
    <w:p>
      <w:pPr>
        <w:pStyle w:val="Heading2"/>
      </w:pPr>
      <w:r>
        <w:t xml:space="preserve">Balance sheet and capital-markets watchpoints</w:t>
      </w:r>
    </w:p>
    <w:p>
      <w:pPr>
        <w:pStyle w:val="FirstParagraph"/>
      </w:pPr>
      <w:r>
        <w:t xml:space="preserve">FRT’s 1Q balance-sheet metrics were solid:</w:t>
      </w:r>
    </w:p>
    <w:p>
      <w:pPr>
        <w:pStyle w:val="Compact"/>
        <w:numPr>
          <w:ilvl w:val="0"/>
          <w:numId w:val="1010"/>
        </w:numPr>
      </w:pPr>
      <w:r>
        <w:rPr>
          <w:b/>
          <w:bCs/>
        </w:rPr>
        <w:t xml:space="preserve">Net debt / EBITDA:</w:t>
      </w:r>
      <w:r>
        <w:t xml:space="preserve"> </w:t>
      </w:r>
      <w:r>
        <w:t xml:space="preserve">approximately</w:t>
      </w:r>
      <w:r>
        <w:t xml:space="preserve"> </w:t>
      </w:r>
      <w:r>
        <w:rPr>
          <w:b/>
          <w:bCs/>
        </w:rPr>
        <w:t xml:space="preserve">5.5x</w:t>
      </w:r>
    </w:p>
    <w:p>
      <w:pPr>
        <w:pStyle w:val="Compact"/>
        <w:numPr>
          <w:ilvl w:val="0"/>
          <w:numId w:val="1010"/>
        </w:numPr>
      </w:pPr>
      <w:r>
        <w:rPr>
          <w:b/>
          <w:bCs/>
        </w:rPr>
        <w:t xml:space="preserve">Fixed-charge coverage:</w:t>
      </w:r>
      <w:r>
        <w:t xml:space="preserve"> </w:t>
      </w:r>
      <w:r>
        <w:t xml:space="preserve">approximately</w:t>
      </w:r>
      <w:r>
        <w:t xml:space="preserve"> </w:t>
      </w:r>
      <w:r>
        <w:rPr>
          <w:b/>
          <w:bCs/>
        </w:rPr>
        <w:t xml:space="preserve">3.9x</w:t>
      </w:r>
    </w:p>
    <w:p>
      <w:pPr>
        <w:pStyle w:val="Compact"/>
        <w:numPr>
          <w:ilvl w:val="0"/>
          <w:numId w:val="1010"/>
        </w:numPr>
      </w:pPr>
      <w:r>
        <w:rPr>
          <w:b/>
          <w:bCs/>
        </w:rPr>
        <w:t xml:space="preserve">Remaining 2026 debt maturities:</w:t>
      </w:r>
      <w:r>
        <w:t xml:space="preserve"> </w:t>
      </w:r>
      <w:r>
        <w:t xml:space="preserve">only about</w:t>
      </w:r>
      <w:r>
        <w:t xml:space="preserve"> </w:t>
      </w:r>
      <w:r>
        <w:rPr>
          <w:b/>
          <w:bCs/>
        </w:rPr>
        <w:t xml:space="preserve">$50 million</w:t>
      </w:r>
    </w:p>
    <w:p>
      <w:pPr>
        <w:pStyle w:val="Compact"/>
        <w:numPr>
          <w:ilvl w:val="0"/>
          <w:numId w:val="1010"/>
        </w:numPr>
      </w:pPr>
      <w:r>
        <w:t xml:space="preserve">Revolving credit facility increased to</w:t>
      </w:r>
      <w:r>
        <w:t xml:space="preserve"> </w:t>
      </w:r>
      <w:r>
        <w:rPr>
          <w:b/>
          <w:bCs/>
        </w:rPr>
        <w:t xml:space="preserve">$1.4 billion</w:t>
      </w:r>
      <w:r>
        <w:t xml:space="preserve">, with initial maturity extended to 2030</w:t>
      </w:r>
    </w:p>
    <w:p>
      <w:pPr>
        <w:pStyle w:val="FirstParagraph"/>
      </w:pPr>
      <w:r>
        <w:t xml:space="preserve">The major refinancing challenge is manageable near term, but interest expense remains an earnings headwind. Management estimated that refinancing its former 1.25% notes creates roughly a</w:t>
      </w:r>
      <w:r>
        <w:t xml:space="preserve"> </w:t>
      </w:r>
      <w:r>
        <w:rPr>
          <w:b/>
          <w:bCs/>
        </w:rPr>
        <w:t xml:space="preserve">175-basis-point</w:t>
      </w:r>
      <w:r>
        <w:t xml:space="preserve"> </w:t>
      </w:r>
      <w:r>
        <w:t xml:space="preserve">rate reset, which was a meaningful drag on 2026 FFO growth.</w:t>
      </w:r>
    </w:p>
    <w:p>
      <w:pPr>
        <w:pStyle w:val="BodyText"/>
      </w:pPr>
      <w:r>
        <w:t xml:space="preserve">The call should provide an updated view on whether FRT can continue to improve leverage metrics while funding development, acquisitions, and its long dividend-growth record through internally generated cash flow and capital recycling.</w:t>
      </w:r>
    </w:p>
    <w:p>
      <w:r>
        <w:pict>
          <v:rect style="width:0;height:1.5pt" o:hralign="center" o:hrstd="t" o:hr="t"/>
        </w:pict>
      </w:r>
    </w:p>
    <w:bookmarkEnd w:id="22"/>
    <w:bookmarkStart w:id="23" w:name="stock-setup-and-valuation-context"/>
    <w:p>
      <w:pPr>
        <w:pStyle w:val="Heading2"/>
      </w:pPr>
      <w:r>
        <w:t xml:space="preserve">Stock setup and valuation context</w:t>
      </w:r>
    </w:p>
    <w:p>
      <w:pPr>
        <w:pStyle w:val="FirstParagraph"/>
      </w:pPr>
      <w:r>
        <w:t xml:space="preserve">As of the</w:t>
      </w:r>
      <w:r>
        <w:t xml:space="preserve"> </w:t>
      </w:r>
      <w:r>
        <w:rPr>
          <w:b/>
          <w:bCs/>
        </w:rPr>
        <w:t xml:space="preserve">July 30, 2026 close</w:t>
      </w:r>
      <w:r>
        <w:t xml:space="preserve">, FRT traded at</w:t>
      </w:r>
      <w:r>
        <w:t xml:space="preserve"> </w:t>
      </w:r>
      <w:r>
        <w:rPr>
          <w:b/>
          <w:bCs/>
        </w:rPr>
        <w:t xml:space="preserve">$124.12</w:t>
      </w:r>
      <w:r>
        <w:t xml:space="preserve">, up roughly</w:t>
      </w:r>
      <w:r>
        <w:t xml:space="preserve"> </w:t>
      </w:r>
      <w:r>
        <w:rPr>
          <w:b/>
          <w:bCs/>
        </w:rPr>
        <w:t xml:space="preserve">23.1% year to date</w:t>
      </w:r>
      <w:r>
        <w:t xml:space="preserve">. That performance is strong, though broadly comparable with several shopping-center REIT peers over the same period: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Stock</w:t>
            </w:r>
          </w:p>
        </w:tc>
        <w:tc>
          <w:tcPr/>
          <w:p>
            <w:pPr>
              <w:pStyle w:val="Compact"/>
              <w:jc w:val="right"/>
            </w:pPr>
            <w:r>
              <w:t xml:space="preserve">YTD return through July 30</w:t>
            </w:r>
          </w:p>
        </w:tc>
      </w:tr>
      <w:tr>
        <w:tc>
          <w:tcPr/>
          <w:p>
            <w:pPr>
              <w:pStyle w:val="Compact"/>
            </w:pPr>
            <w:r>
              <w:t xml:space="preserve">FRT</w:t>
            </w:r>
          </w:p>
        </w:tc>
        <w:tc>
          <w:tcPr/>
          <w:p>
            <w:pPr>
              <w:pStyle w:val="Compact"/>
              <w:jc w:val="right"/>
            </w:pPr>
            <w:r>
              <w:rPr>
                <w:b/>
                <w:bCs/>
              </w:rPr>
              <w:t xml:space="preserve">+23.1%</w:t>
            </w:r>
          </w:p>
        </w:tc>
      </w:tr>
      <w:tr>
        <w:tc>
          <w:tcPr/>
          <w:p>
            <w:pPr>
              <w:pStyle w:val="Compact"/>
            </w:pPr>
            <w:r>
              <w:t xml:space="preserve">Kimco (KIM)</w:t>
            </w:r>
          </w:p>
        </w:tc>
        <w:tc>
          <w:tcPr/>
          <w:p>
            <w:pPr>
              <w:pStyle w:val="Compact"/>
              <w:jc w:val="right"/>
            </w:pPr>
            <w:r>
              <w:t xml:space="preserve">+25.9%</w:t>
            </w:r>
          </w:p>
        </w:tc>
      </w:tr>
      <w:tr>
        <w:tc>
          <w:tcPr/>
          <w:p>
            <w:pPr>
              <w:pStyle w:val="Compact"/>
            </w:pPr>
            <w:r>
              <w:t xml:space="preserve">Regency Centers (REG)</w:t>
            </w:r>
          </w:p>
        </w:tc>
        <w:tc>
          <w:tcPr/>
          <w:p>
            <w:pPr>
              <w:pStyle w:val="Compact"/>
              <w:jc w:val="right"/>
            </w:pPr>
            <w:r>
              <w:t xml:space="preserve">+16.4%</w:t>
            </w:r>
          </w:p>
        </w:tc>
      </w:tr>
      <w:tr>
        <w:tc>
          <w:tcPr/>
          <w:p>
            <w:pPr>
              <w:pStyle w:val="Compact"/>
            </w:pPr>
            <w:r>
              <w:t xml:space="preserve">Brixmor (BRX)</w:t>
            </w:r>
          </w:p>
        </w:tc>
        <w:tc>
          <w:tcPr/>
          <w:p>
            <w:pPr>
              <w:pStyle w:val="Compact"/>
              <w:jc w:val="right"/>
            </w:pPr>
            <w:r>
              <w:t xml:space="preserve">+20.2%</w:t>
            </w:r>
          </w:p>
        </w:tc>
      </w:tr>
    </w:tbl>
    <w:p>
      <w:pPr>
        <w:pStyle w:val="BodyText"/>
      </w:pPr>
      <w:r>
        <w:t xml:space="preserve">At</w:t>
      </w:r>
      <w:r>
        <w:t xml:space="preserve"> </w:t>
      </w:r>
      <m:oMath>
        <m:r>
          <m:t>124.12</m:t>
        </m:r>
        <m:r>
          <m:rPr>
            <m:sty m:val="p"/>
          </m:rPr>
          <m:t>,</m:t>
        </m:r>
        <m:r>
          <m:t>F</m:t>
        </m:r>
        <m:r>
          <m:t>R</m:t>
        </m:r>
        <m:r>
          <m:t>T</m:t>
        </m:r>
        <m:r>
          <m:t>t</m:t>
        </m:r>
        <m:r>
          <m:t>r</m:t>
        </m:r>
        <m:r>
          <m:t>a</m:t>
        </m:r>
        <m:r>
          <m:t>d</m:t>
        </m:r>
        <m:r>
          <m:t>e</m:t>
        </m:r>
        <m:r>
          <m:t>s</m:t>
        </m:r>
        <m:r>
          <m:t>a</m:t>
        </m:r>
        <m:r>
          <m:t>t</m:t>
        </m:r>
        <m:r>
          <m:t>r</m:t>
        </m:r>
        <m:r>
          <m:t>o</m:t>
        </m:r>
        <m:r>
          <m:t>u</m:t>
        </m:r>
        <m:r>
          <m:t>g</m:t>
        </m:r>
        <m:r>
          <m:t>h</m:t>
        </m:r>
        <m:r>
          <m:t>l</m:t>
        </m:r>
        <m:r>
          <m:t>y</m:t>
        </m:r>
        <m:r>
          <m:rPr>
            <m:sty m:val="p"/>
          </m:rPr>
          <m:t>*</m:t>
        </m:r>
        <m:r>
          <m:rPr>
            <m:sty m:val="p"/>
          </m:rPr>
          <m:t>*</m:t>
        </m:r>
        <m:r>
          <m:t>16.5</m:t>
        </m:r>
        <m:r>
          <m:t>x</m:t>
        </m:r>
        <m:r>
          <m:rPr>
            <m:sty m:val="p"/>
          </m:rPr>
          <m:t>*</m:t>
        </m:r>
        <m:r>
          <m:rPr>
            <m:sty m:val="p"/>
          </m:rPr>
          <m:t>*</m:t>
        </m:r>
        <m:r>
          <m:t>t</m:t>
        </m:r>
        <m:r>
          <m:t>h</m:t>
        </m:r>
        <m:r>
          <m:t>e</m:t>
        </m:r>
        <m:r>
          <m:t>m</m:t>
        </m:r>
        <m:r>
          <m:t>i</m:t>
        </m:r>
        <m:r>
          <m:t>d</m:t>
        </m:r>
        <m:r>
          <m:t>p</m:t>
        </m:r>
        <m:r>
          <m:t>o</m:t>
        </m:r>
        <m:r>
          <m:t>i</m:t>
        </m:r>
        <m:r>
          <m:t>n</m:t>
        </m:r>
        <m:r>
          <m:t>t</m:t>
        </m:r>
        <m:r>
          <m:t>o</m:t>
        </m:r>
        <m:r>
          <m:t>f</m:t>
        </m:r>
        <m:r>
          <m:t>i</m:t>
        </m:r>
        <m:r>
          <m:t>t</m:t>
        </m:r>
        <m:r>
          <m:t>s</m:t>
        </m:r>
        <m:r>
          <m:t>2026</m:t>
        </m:r>
        <m:r>
          <m:t>C</m:t>
        </m:r>
        <m:r>
          <m:t>o</m:t>
        </m:r>
        <m:r>
          <m:t>r</m:t>
        </m:r>
        <m:r>
          <m:t>e</m:t>
        </m:r>
        <m:r>
          <m:t>F</m:t>
        </m:r>
        <m:r>
          <m:t>F</m:t>
        </m:r>
        <m:r>
          <m:t>O</m:t>
        </m:r>
        <m:r>
          <m:t>g</m:t>
        </m:r>
        <m:r>
          <m:t>u</m:t>
        </m:r>
        <m:r>
          <m:t>i</m:t>
        </m:r>
        <m:r>
          <m:t>d</m:t>
        </m:r>
        <m:r>
          <m:t>a</m:t>
        </m:r>
        <m:r>
          <m:t>n</m:t>
        </m:r>
        <m:r>
          <m:t>c</m:t>
        </m:r>
        <m:r>
          <m:t>e</m:t>
        </m:r>
        <m:r>
          <m:rPr>
            <m:sty m:val="p"/>
          </m:rPr>
          <m:t>.</m:t>
        </m:r>
        <m:r>
          <m:t>I</m:t>
        </m:r>
        <m:r>
          <m:t>t</m:t>
        </m:r>
        <m:r>
          <m:t>s</m:t>
        </m:r>
        <m:r>
          <m:t>i</m:t>
        </m:r>
        <m:r>
          <m:t>n</m:t>
        </m:r>
        <m:r>
          <m:t>d</m:t>
        </m:r>
        <m:r>
          <m:t>i</m:t>
        </m:r>
        <m:r>
          <m:t>c</m:t>
        </m:r>
        <m:r>
          <m:t>a</m:t>
        </m:r>
        <m:r>
          <m:t>t</m:t>
        </m:r>
        <m:r>
          <m:t>e</m:t>
        </m:r>
        <m:r>
          <m:t>d</m:t>
        </m:r>
        <m:r>
          <m:t>a</m:t>
        </m:r>
        <m:r>
          <m:t>n</m:t>
        </m:r>
        <m:r>
          <m:t>n</m:t>
        </m:r>
        <m:r>
          <m:t>u</m:t>
        </m:r>
        <m:r>
          <m:t>a</m:t>
        </m:r>
        <m:r>
          <m:t>l</m:t>
        </m:r>
        <m:r>
          <m:t>d</m:t>
        </m:r>
        <m:r>
          <m:t>i</m:t>
        </m:r>
        <m:r>
          <m:t>v</m:t>
        </m:r>
        <m:r>
          <m:t>i</m:t>
        </m:r>
        <m:r>
          <m:t>d</m:t>
        </m:r>
        <m:r>
          <m:t>e</m:t>
        </m:r>
        <m:r>
          <m:t>n</m:t>
        </m:r>
        <m:r>
          <m:t>d</m:t>
        </m:r>
        <m:r>
          <m:t>o</m:t>
        </m:r>
        <m:r>
          <m:t>f</m:t>
        </m:r>
        <m:r>
          <m:rPr>
            <m:sty m:val="p"/>
          </m:rPr>
          <m:t>*</m:t>
        </m:r>
        <m:r>
          <m:rPr>
            <m:sty m:val="p"/>
          </m:rPr>
          <m:t>*</m:t>
        </m:r>
      </m:oMath>
      <w:r>
        <w:t xml:space="preserve">4.52 per share** equates to an approximate</w:t>
      </w:r>
      <w:r>
        <w:t xml:space="preserve"> </w:t>
      </w:r>
      <w:r>
        <w:rPr>
          <w:b/>
          <w:bCs/>
        </w:rPr>
        <w:t xml:space="preserve">3.6% dividend yield</w:t>
      </w:r>
      <w:r>
        <w:t xml:space="preserve"> </w:t>
      </w:r>
      <w:r>
        <w:t xml:space="preserve">at that price.</w:t>
      </w:r>
    </w:p>
    <w:p>
      <w:pPr>
        <w:pStyle w:val="BodyText"/>
      </w:pPr>
      <w:r>
        <w:t xml:space="preserve">The setup is therefore constructive but not undemanding: FRT likely needs to keep proving that its above-peer-quality portfolio, leasing momentum, capital recycling, and development pipeline can drive sustained mid-single-digit—or better—FFO growth.</w:t>
      </w:r>
    </w:p>
    <w:p>
      <w:r>
        <w:pict>
          <v:rect style="width:0;height:1.5pt" o:hralign="center" o:hrstd="t" o:hr="t"/>
        </w:pict>
      </w:r>
    </w:p>
    <w:bookmarkEnd w:id="23"/>
    <w:bookmarkStart w:id="25" w:name="bottom-line"/>
    <w:p>
      <w:pPr>
        <w:pStyle w:val="Heading2"/>
      </w:pPr>
      <w:r>
        <w:t xml:space="preserve">Bottom line</w:t>
      </w:r>
    </w:p>
    <w:p>
      <w:pPr>
        <w:pStyle w:val="FirstParagraph"/>
      </w:pPr>
      <w:r>
        <w:t xml:space="preserve">FRT’s 2Q print should be evaluated primarily against its</w:t>
      </w:r>
      <w:r>
        <w:t xml:space="preserve"> </w:t>
      </w:r>
      <w:r>
        <w:rPr>
          <w:b/>
          <w:bCs/>
        </w:rPr>
        <w:t xml:space="preserve">operating cadence</w:t>
      </w:r>
      <w:r>
        <w:t xml:space="preserve">, rather than against 1Q’s unusually strong $1.88 Core FFO result. The core questions are:</w:t>
      </w:r>
    </w:p>
    <w:p>
      <w:pPr>
        <w:pStyle w:val="Compact"/>
        <w:numPr>
          <w:ilvl w:val="0"/>
          <w:numId w:val="1011"/>
        </w:numPr>
      </w:pPr>
      <w:r>
        <w:t xml:space="preserve">Is occupancy stable and positioned for the expected 4Q increase?</w:t>
      </w:r>
    </w:p>
    <w:p>
      <w:pPr>
        <w:pStyle w:val="Compact"/>
        <w:numPr>
          <w:ilvl w:val="0"/>
          <w:numId w:val="1011"/>
        </w:numPr>
      </w:pPr>
      <w:r>
        <w:t xml:space="preserve">Are leasing spreads and volume still demonstrating strong pricing power?</w:t>
      </w:r>
    </w:p>
    <w:p>
      <w:pPr>
        <w:pStyle w:val="Compact"/>
        <w:numPr>
          <w:ilvl w:val="0"/>
          <w:numId w:val="1011"/>
        </w:numPr>
      </w:pPr>
      <w:r>
        <w:t xml:space="preserve">Is comparable POI moderating as planned rather than weakening unexpectedly?</w:t>
      </w:r>
    </w:p>
    <w:p>
      <w:pPr>
        <w:pStyle w:val="Compact"/>
        <w:numPr>
          <w:ilvl w:val="0"/>
          <w:numId w:val="1011"/>
        </w:numPr>
      </w:pPr>
      <w:r>
        <w:t xml:space="preserve">Are signed leases converting into rent on schedule?</w:t>
      </w:r>
    </w:p>
    <w:p>
      <w:pPr>
        <w:pStyle w:val="Compact"/>
        <w:numPr>
          <w:ilvl w:val="0"/>
          <w:numId w:val="1011"/>
        </w:numPr>
      </w:pPr>
      <w:r>
        <w:t xml:space="preserve">Does capital recycling remain accretive and active?</w:t>
      </w:r>
    </w:p>
    <w:p>
      <w:pPr>
        <w:pStyle w:val="Compact"/>
        <w:numPr>
          <w:ilvl w:val="0"/>
          <w:numId w:val="1011"/>
        </w:numPr>
      </w:pPr>
      <w:r>
        <w:t xml:space="preserve">Can management reinforce confidence in its 2026 guidance and 2027–28 growth framework?</w:t>
      </w:r>
    </w:p>
    <w:p>
      <w:pPr>
        <w:pStyle w:val="FirstParagraph"/>
      </w:pPr>
      <w:r>
        <w:t xml:space="preserve">A quarter that checks those boxes should preserve the thesis. A guidance increase or evidence of faster lease commencement/capital deployment would be the most likely catalysts for upside.</w:t>
      </w:r>
    </w:p>
    <w:bookmarkStart w:id="24" w:name="sources-reviewed"/>
    <w:p>
      <w:pPr>
        <w:pStyle w:val="Heading3"/>
      </w:pPr>
      <w:r>
        <w:t xml:space="preserve">Sources reviewed</w:t>
      </w:r>
    </w:p>
    <w:p>
      <w:pPr>
        <w:pStyle w:val="Compact"/>
        <w:numPr>
          <w:ilvl w:val="0"/>
          <w:numId w:val="1012"/>
        </w:numPr>
      </w:pPr>
      <w:r>
        <w:t xml:space="preserve">Federal Realty 1Q26 earnings release and 1Q26 earnings-call transcript, May 1, 2026</w:t>
      </w:r>
    </w:p>
    <w:p>
      <w:pPr>
        <w:pStyle w:val="Compact"/>
        <w:numPr>
          <w:ilvl w:val="0"/>
          <w:numId w:val="1012"/>
        </w:numPr>
      </w:pPr>
      <w:r>
        <w:t xml:space="preserve">Federal Realty 2026 Investor Day transcript, May 21, 2026</w:t>
      </w:r>
    </w:p>
    <w:p>
      <w:pPr>
        <w:pStyle w:val="Compact"/>
        <w:numPr>
          <w:ilvl w:val="0"/>
          <w:numId w:val="1012"/>
        </w:numPr>
      </w:pPr>
      <w:r>
        <w:t xml:space="preserve">Federal Realty 2Q26 earnings-date announcement, June 11, 2026</w:t>
      </w:r>
    </w:p>
    <w:p>
      <w:pPr>
        <w:pStyle w:val="Compact"/>
        <w:numPr>
          <w:ilvl w:val="0"/>
          <w:numId w:val="1012"/>
        </w:numPr>
      </w:pPr>
      <w:r>
        <w:t xml:space="preserve">Historical share-price data through July 30, 2026</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2026-07-31T00:13:55Z</dcterms:created>
  <dcterms:modified xsi:type="dcterms:W3CDTF">2026-07-31T00:13:55Z</dcterms:modified>
</cp:coreProperties>
</file>

<file path=docProps/custom.xml><?xml version="1.0" encoding="utf-8"?>
<Properties xmlns="http://schemas.openxmlformats.org/officeDocument/2006/custom-properties" xmlns:vt="http://schemas.openxmlformats.org/officeDocument/2006/docPropsVTypes"/>
</file>