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rt-earnings-predictions--2026-07-31"/>
    <w:p>
      <w:pPr>
        <w:pStyle w:val="Heading1"/>
      </w:pPr>
      <w:r>
        <w:t xml:space="preserve">FRT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%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~2.2% vs. cons 4.55%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Leased Rate %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~96.0% vs. cons 95.97%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FY 2026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7.48</m:t>
              </m:r>
              <m:r>
                <m:rPr>
                  <m:sty m:val="p"/>
                </m:rPr>
                <m:t>−</m:t>
              </m:r>
            </m:oMath>
            <w:r>
              <w:t xml:space="preserve">7.57 vs. cons $7.525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Q3 2026 (next quarter)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1.84</m:t>
              </m:r>
              <m:r>
                <m:rPr>
                  <m:sty m:val="p"/>
                </m:rPr>
                <m:t>−</m:t>
              </m:r>
            </m:oMath>
            <w:r>
              <w:t xml:space="preserve">1.87 vs. cons $1.856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Comp. POI Growth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 ~3.125%-3.625% vs. cons 3.05%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- SS NOI headline miss drives Q3 SS NOI estimate cuts; modest FY FFO raise insufficient to sustain the move; stock already +5.9% residual since Q1 earnings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2026-08-02T02:00:49Z</dcterms:created>
  <dcterms:modified xsi:type="dcterms:W3CDTF">2026-08-02T02:00:49Z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