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Federal Realty Investment Trust (FRT) — Q2 2026 Earnings Preview</w:t>
      </w:r>
    </w:p>
    <w:p>
      <w:r>
        <w:rPr>
          <w:rFonts w:ascii="Calibri" w:hAnsi="Calibri"/>
          <w:b/>
          <w:color w:val="525866"/>
          <w:sz w:val="22"/>
        </w:rPr>
        <w:t xml:space="preserve">Company: </w:t>
      </w:r>
      <w:r>
        <w:rPr>
          <w:rFonts w:ascii="Calibri" w:hAnsi="Calibri"/>
          <w:color w:val="525866"/>
          <w:sz w:val="22"/>
        </w:rPr>
        <w:t xml:space="preserve">Federal Realty Investment Trust  </w:t>
      </w:r>
      <w:r>
        <w:rPr>
          <w:rFonts w:ascii="Calibri" w:hAnsi="Calibri"/>
          <w:b/>
          <w:color w:val="525866"/>
          <w:sz w:val="22"/>
        </w:rPr>
        <w:t xml:space="preserve">  |  Ticker: </w:t>
      </w:r>
      <w:r>
        <w:rPr>
          <w:rFonts w:ascii="Calibri" w:hAnsi="Calibri"/>
          <w:color w:val="525866"/>
          <w:sz w:val="22"/>
        </w:rPr>
        <w:t xml:space="preserve">FRT  </w:t>
      </w:r>
      <w:r>
        <w:rPr>
          <w:rFonts w:ascii="Calibri" w:hAnsi="Calibri"/>
          <w:b/>
          <w:color w:val="525866"/>
          <w:sz w:val="22"/>
        </w:rPr>
        <w:t xml:space="preserve">  |  Upcoming Earnings: </w:t>
      </w:r>
      <w:r>
        <w:rPr>
          <w:rFonts w:ascii="Calibri" w:hAnsi="Calibri"/>
          <w:color w:val="525866"/>
          <w:sz w:val="22"/>
        </w:rPr>
        <w:t xml:space="preserve">Q2 2026 (period ending June 30, 2026)  </w:t>
      </w:r>
      <w:r>
        <w:rPr>
          <w:rFonts w:ascii="Calibri" w:hAnsi="Calibri"/>
          <w:b/>
          <w:color w:val="525866"/>
          <w:sz w:val="22"/>
        </w:rPr>
        <w:t xml:space="preserve">  |  Prepared: </w:t>
      </w:r>
      <w:r>
        <w:rPr>
          <w:rFonts w:ascii="Calibri" w:hAnsi="Calibri"/>
          <w:color w:val="525866"/>
          <w:sz w:val="22"/>
        </w:rPr>
        <w:t>July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manageable bar with a clear beat path — management explicitly guided Q2 Core FFO to $1.83–$1.86 and consensus sits at $1.856, essentially at the top of the range, but the Q1 beat pattern and operational momentum suggest the risk is to the upside; the biggest swing factor is whether comparable POI growth holds above the guided "dip into the 2s" or surprises higher.</w:t>
      </w:r>
    </w:p>
    <w:p>
      <w:r>
        <w:rPr>
          <w:rFonts w:ascii="Calibri" w:hAnsi="Calibri"/>
          <w:color w:val="525866"/>
          <w:sz w:val="22"/>
        </w:rPr>
        <w:t xml:space="preserve">Heading into Q2 2026, FRT faces a deliberately guided sequential deceleration in both FFO and comparable POI growth — management telegraphed this clearly on the Q1 call, citing refinancing drag (~$0.01+), early Blair lease-up dilution, and the pull-forward of ~$0.02 of timing items into Q1. </w:t>
      </w:r>
      <w:r>
        <w:rPr>
          <w:rFonts w:ascii="Calibri" w:hAnsi="Calibri"/>
          <w:color w:val="525866"/>
          <w:sz w:val="22"/>
        </w:rPr>
        <w:t xml:space="preserve">Consensus Core FFO of $1.856 sits at the very top of the $1.83–$1.86 guidance range, leaving little room for a miss but also suggesting the street has already priced in a clean quarter rather than another beat. </w:t>
      </w:r>
      <w:r>
        <w:rPr>
          <w:rFonts w:ascii="Calibri" w:hAnsi="Calibri"/>
          <w:color w:val="525866"/>
          <w:sz w:val="22"/>
        </w:rPr>
        <w:t xml:space="preserve">Estimate revisions have been essentially flat since the Q1 print (Q2 consensus moved only ~$0.001 higher), consistent with management's explicit cadence guidance, which reduces the risk of a negative revision surprise. </w:t>
      </w:r>
      <w:r>
        <w:rPr>
          <w:rFonts w:ascii="Calibri" w:hAnsi="Calibri"/>
          <w:color w:val="525866"/>
          <w:sz w:val="22"/>
        </w:rPr>
        <w:t xml:space="preserve">The stock has outperformed XLRE (+7.6% vs. +2.2%) and the S&amp;P 500 (+2.9%) since the Q1 print, aided by a well-received Investor Day on May 21 that laid out a multi-year FFO growth framework of 5–7.5% for 2027–2028 and AFFO growth of 7–10%, suggesting the market has already partially re-rated the name on the long-term story. </w:t>
      </w:r>
      <w:r>
        <w:rPr>
          <w:rFonts w:ascii="Calibri" w:hAnsi="Calibri"/>
          <w:color w:val="525866"/>
          <w:sz w:val="22"/>
        </w:rPr>
        <w:t>The key wildcard is comparable POI growth: management guided a "slight dip into the 2s" for Q2/Q3 on a GAAP basis, but Q1 came in at 4.7% despite harsh winter weather — any upside surprise here, particularly from the signed-not-occupied pipeline commencing earlier than expected, could drive a meaningful beat and pull forward the Q4 step-up narrative.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high but achievable bar on Core FFO (at the top of guidance), while comparable POI growth is the bigger swing factor — any upside vs. the guided "dip into the 2s" would be the most meaningful positive surprise for the print.</w:t>
      </w:r>
    </w:p>
    <w:p>
      <w:pPr>
        <w:pStyle w:val="Heading3"/>
      </w:pPr>
      <w:r>
        <w:rPr>
          <w:rFonts w:ascii="Calibri" w:hAnsi="Calibri"/>
          <w:b/>
          <w:color w:val="3B4259"/>
          <w:sz w:val="24"/>
        </w:rPr>
        <w:t>Table 1 — Q2 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Core FFO per Share — Diluted ($)</w:t>
            </w:r>
          </w:p>
        </w:tc>
        <w:tc>
          <w:tcPr>
            <w:tcW w:type="dxa" w:w="1234"/>
          </w:tcPr>
          <w:p>
            <w:r>
              <w:rPr>
                <w:rFonts w:ascii="Calibri" w:hAnsi="Calibri"/>
                <w:sz w:val="22"/>
              </w:rPr>
              <w:t>$1.88</w:t>
            </w:r>
          </w:p>
        </w:tc>
        <w:tc>
          <w:tcPr>
            <w:tcW w:type="dxa" w:w="1234"/>
          </w:tcPr>
          <w:p>
            <w:r>
              <w:rPr>
                <w:rFonts w:ascii="Calibri" w:hAnsi="Calibri"/>
                <w:sz w:val="22"/>
              </w:rPr>
              <w:t>$1.81</w:t>
            </w:r>
          </w:p>
        </w:tc>
        <w:tc>
          <w:tcPr>
            <w:tcW w:type="dxa" w:w="1234"/>
          </w:tcPr>
          <w:p>
            <w:r>
              <w:rPr>
                <w:rFonts w:ascii="Calibri" w:hAnsi="Calibri"/>
                <w:sz w:val="22"/>
              </w:rPr>
              <w:t>$1.856</w:t>
            </w:r>
          </w:p>
        </w:tc>
        <w:tc>
          <w:tcPr>
            <w:tcW w:type="dxa" w:w="1234"/>
          </w:tcPr>
          <w:p>
            <w:r>
              <w:rPr>
                <w:rFonts w:ascii="Calibri" w:hAnsi="Calibri"/>
                <w:sz w:val="22"/>
              </w:rPr>
              <w:t>+2.5% YoY</w:t>
            </w:r>
          </w:p>
        </w:tc>
        <w:tc>
          <w:tcPr>
            <w:tcW w:type="dxa" w:w="1234"/>
          </w:tcPr>
          <w:p>
            <w:r>
              <w:rPr>
                <w:rFonts w:ascii="Calibri" w:hAnsi="Calibri"/>
                <w:sz w:val="22"/>
              </w:rPr>
              <w:t>$1.83–$1.86 (mid: $1.845)</w:t>
            </w:r>
          </w:p>
        </w:tc>
        <w:tc>
          <w:tcPr>
            <w:tcW w:type="dxa" w:w="1234"/>
          </w:tcPr>
          <w:p>
            <w:r>
              <w:rPr>
                <w:rFonts w:ascii="Calibri" w:hAnsi="Calibri"/>
                <w:sz w:val="22"/>
              </w:rPr>
              <w:t>+0.6% above mid</w:t>
            </w:r>
          </w:p>
        </w:tc>
      </w:tr>
      <w:tr>
        <w:tc>
          <w:tcPr>
            <w:tcW w:type="dxa" w:w="1234"/>
          </w:tcPr>
          <w:p>
            <w:r>
              <w:rPr>
                <w:rFonts w:ascii="Calibri" w:hAnsi="Calibri"/>
                <w:sz w:val="22"/>
              </w:rPr>
              <w:t>FFO per Share — Diluted ($)</w:t>
            </w:r>
          </w:p>
        </w:tc>
        <w:tc>
          <w:tcPr>
            <w:tcW w:type="dxa" w:w="1234"/>
          </w:tcPr>
          <w:p>
            <w:r>
              <w:rPr>
                <w:rFonts w:ascii="Calibri" w:hAnsi="Calibri"/>
                <w:sz w:val="22"/>
              </w:rPr>
              <w:t>$1.88</w:t>
            </w:r>
          </w:p>
        </w:tc>
        <w:tc>
          <w:tcPr>
            <w:tcW w:type="dxa" w:w="1234"/>
          </w:tcPr>
          <w:p>
            <w:r>
              <w:rPr>
                <w:rFonts w:ascii="Calibri" w:hAnsi="Calibri"/>
                <w:sz w:val="22"/>
              </w:rPr>
              <w:t>$1.91</w:t>
            </w:r>
          </w:p>
        </w:tc>
        <w:tc>
          <w:tcPr>
            <w:tcW w:type="dxa" w:w="1234"/>
          </w:tcPr>
          <w:p>
            <w:r>
              <w:rPr>
                <w:rFonts w:ascii="Calibri" w:hAnsi="Calibri"/>
                <w:sz w:val="22"/>
              </w:rPr>
              <w:t>$1.850</w:t>
            </w:r>
          </w:p>
        </w:tc>
        <w:tc>
          <w:tcPr>
            <w:tcW w:type="dxa" w:w="1234"/>
          </w:tcPr>
          <w:p>
            <w:r>
              <w:rPr>
                <w:rFonts w:ascii="Calibri" w:hAnsi="Calibri"/>
                <w:sz w:val="22"/>
              </w:rPr>
              <w:t>-3.1% YoY</w:t>
            </w:r>
          </w:p>
        </w:tc>
        <w:tc>
          <w:tcPr>
            <w:tcW w:type="dxa" w:w="1234"/>
          </w:tcPr>
          <w:p>
            <w:r>
              <w:rPr>
                <w:rFonts w:ascii="Calibri" w:hAnsi="Calibri"/>
                <w:sz w:val="22"/>
              </w:rPr>
              <w:t>$1.83–$1.86 (mid: $1.845)</w:t>
            </w:r>
          </w:p>
        </w:tc>
        <w:tc>
          <w:tcPr>
            <w:tcW w:type="dxa" w:w="1234"/>
          </w:tcPr>
          <w:p>
            <w:r>
              <w:rPr>
                <w:rFonts w:ascii="Calibri" w:hAnsi="Calibri"/>
                <w:sz w:val="22"/>
              </w:rPr>
              <w:t>+0.3% above mid</w:t>
            </w:r>
          </w:p>
        </w:tc>
      </w:tr>
      <w:tr>
        <w:tc>
          <w:tcPr>
            <w:tcW w:type="dxa" w:w="1234"/>
          </w:tcPr>
          <w:p>
            <w:r>
              <w:rPr>
                <w:rFonts w:ascii="Calibri" w:hAnsi="Calibri"/>
                <w:sz w:val="22"/>
              </w:rPr>
              <w:t>Same-Store NOI Growth (%)</w:t>
            </w:r>
          </w:p>
        </w:tc>
        <w:tc>
          <w:tcPr>
            <w:tcW w:type="dxa" w:w="1234"/>
          </w:tcPr>
          <w:p>
            <w:r>
              <w:rPr>
                <w:rFonts w:ascii="Calibri" w:hAnsi="Calibri"/>
                <w:sz w:val="22"/>
              </w:rPr>
              <w:t>4.7%</w:t>
            </w:r>
          </w:p>
        </w:tc>
        <w:tc>
          <w:tcPr>
            <w:tcW w:type="dxa" w:w="1234"/>
          </w:tcPr>
          <w:p>
            <w:r>
              <w:rPr>
                <w:rFonts w:ascii="Calibri" w:hAnsi="Calibri"/>
                <w:sz w:val="22"/>
              </w:rPr>
              <w:t>4.5%</w:t>
            </w:r>
          </w:p>
        </w:tc>
        <w:tc>
          <w:tcPr>
            <w:tcW w:type="dxa" w:w="1234"/>
          </w:tcPr>
          <w:p>
            <w:r>
              <w:rPr>
                <w:rFonts w:ascii="Calibri" w:hAnsi="Calibri"/>
                <w:sz w:val="22"/>
              </w:rPr>
              <w:t>4.5%</w:t>
            </w:r>
          </w:p>
        </w:tc>
        <w:tc>
          <w:tcPr>
            <w:tcW w:type="dxa" w:w="1234"/>
          </w:tcPr>
          <w:p>
            <w:r>
              <w:rPr>
                <w:rFonts w:ascii="Calibri" w:hAnsi="Calibri"/>
                <w:sz w:val="22"/>
              </w:rPr>
              <w:t>~flat YoY</w:t>
            </w:r>
          </w:p>
        </w:tc>
        <w:tc>
          <w:tcPr>
            <w:tcW w:type="dxa" w:w="1234"/>
          </w:tcPr>
          <w:p>
            <w:r>
              <w:rPr>
                <w:rFonts w:ascii="Calibri" w:hAnsi="Calibri"/>
                <w:sz w:val="22"/>
              </w:rPr>
              <w:t>"Dip into the 2s" (GAAP); ~2% guided</w:t>
            </w:r>
          </w:p>
        </w:tc>
        <w:tc>
          <w:tcPr>
            <w:tcW w:type="dxa" w:w="1234"/>
          </w:tcPr>
          <w:p>
            <w:r>
              <w:rPr>
                <w:rFonts w:ascii="Calibri" w:hAnsi="Calibri"/>
                <w:sz w:val="22"/>
              </w:rPr>
              <w:t>+~250 bps above guided mid</w:t>
            </w:r>
          </w:p>
        </w:tc>
      </w:tr>
      <w:tr>
        <w:tc>
          <w:tcPr>
            <w:tcW w:type="dxa" w:w="1234"/>
          </w:tcPr>
          <w:p>
            <w:r>
              <w:rPr>
                <w:rFonts w:ascii="Calibri" w:hAnsi="Calibri"/>
                <w:sz w:val="22"/>
              </w:rPr>
              <w:t>Total Revenue ($M)</w:t>
            </w:r>
          </w:p>
        </w:tc>
        <w:tc>
          <w:tcPr>
            <w:tcW w:type="dxa" w:w="1234"/>
          </w:tcPr>
          <w:p>
            <w:r>
              <w:rPr>
                <w:rFonts w:ascii="Calibri" w:hAnsi="Calibri"/>
                <w:sz w:val="22"/>
              </w:rPr>
              <w:t>$340.5M</w:t>
            </w:r>
          </w:p>
        </w:tc>
        <w:tc>
          <w:tcPr>
            <w:tcW w:type="dxa" w:w="1234"/>
          </w:tcPr>
          <w:p>
            <w:r>
              <w:rPr>
                <w:rFonts w:ascii="Calibri" w:hAnsi="Calibri"/>
                <w:sz w:val="22"/>
              </w:rPr>
              <w:t>$311.2M</w:t>
            </w:r>
          </w:p>
        </w:tc>
        <w:tc>
          <w:tcPr>
            <w:tcW w:type="dxa" w:w="1234"/>
          </w:tcPr>
          <w:p>
            <w:r>
              <w:rPr>
                <w:rFonts w:ascii="Calibri" w:hAnsi="Calibri"/>
                <w:sz w:val="22"/>
              </w:rPr>
              <w:t>$332.3M</w:t>
            </w:r>
          </w:p>
        </w:tc>
        <w:tc>
          <w:tcPr>
            <w:tcW w:type="dxa" w:w="1234"/>
          </w:tcPr>
          <w:p>
            <w:r>
              <w:rPr>
                <w:rFonts w:ascii="Calibri" w:hAnsi="Calibri"/>
                <w:sz w:val="22"/>
              </w:rPr>
              <w:t>+6.8% YoY</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Net Operating Income ($M)</w:t>
            </w:r>
          </w:p>
        </w:tc>
        <w:tc>
          <w:tcPr>
            <w:tcW w:type="dxa" w:w="1234"/>
          </w:tcPr>
          <w:p>
            <w:r>
              <w:rPr>
                <w:rFonts w:ascii="Calibri" w:hAnsi="Calibri"/>
                <w:sz w:val="22"/>
              </w:rPr>
              <w:t>$226.9M</w:t>
            </w:r>
          </w:p>
        </w:tc>
        <w:tc>
          <w:tcPr>
            <w:tcW w:type="dxa" w:w="1234"/>
          </w:tcPr>
          <w:p>
            <w:r>
              <w:rPr>
                <w:rFonts w:ascii="Calibri" w:hAnsi="Calibri"/>
                <w:sz w:val="22"/>
              </w:rPr>
              <w:t>$213.0M</w:t>
            </w:r>
          </w:p>
        </w:tc>
        <w:tc>
          <w:tcPr>
            <w:tcW w:type="dxa" w:w="1234"/>
          </w:tcPr>
          <w:p>
            <w:r>
              <w:rPr>
                <w:rFonts w:ascii="Calibri" w:hAnsi="Calibri"/>
                <w:sz w:val="22"/>
              </w:rPr>
              <w:t>$225.3M</w:t>
            </w:r>
          </w:p>
        </w:tc>
        <w:tc>
          <w:tcPr>
            <w:tcW w:type="dxa" w:w="1234"/>
          </w:tcPr>
          <w:p>
            <w:r>
              <w:rPr>
                <w:rFonts w:ascii="Calibri" w:hAnsi="Calibri"/>
                <w:sz w:val="22"/>
              </w:rPr>
              <w:t>+5.8% YoY</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Commercial Occupancy (%)</w:t>
            </w:r>
          </w:p>
        </w:tc>
        <w:tc>
          <w:tcPr>
            <w:tcW w:type="dxa" w:w="1234"/>
          </w:tcPr>
          <w:p>
            <w:r>
              <w:rPr>
                <w:rFonts w:ascii="Calibri" w:hAnsi="Calibri"/>
                <w:sz w:val="22"/>
              </w:rPr>
              <w:t>93.8%</w:t>
            </w:r>
          </w:p>
        </w:tc>
        <w:tc>
          <w:tcPr>
            <w:tcW w:type="dxa" w:w="1234"/>
          </w:tcPr>
          <w:p>
            <w:r>
              <w:rPr>
                <w:rFonts w:ascii="Calibri" w:hAnsi="Calibri"/>
                <w:sz w:val="22"/>
              </w:rPr>
              <w:t>93.6%</w:t>
            </w:r>
          </w:p>
        </w:tc>
        <w:tc>
          <w:tcPr>
            <w:tcW w:type="dxa" w:w="1234"/>
          </w:tcPr>
          <w:p>
            <w:r>
              <w:rPr>
                <w:rFonts w:ascii="Calibri" w:hAnsi="Calibri"/>
                <w:sz w:val="22"/>
              </w:rPr>
              <w:t>93.8%</w:t>
            </w:r>
          </w:p>
        </w:tc>
        <w:tc>
          <w:tcPr>
            <w:tcW w:type="dxa" w:w="1234"/>
          </w:tcPr>
          <w:p>
            <w:r>
              <w:rPr>
                <w:rFonts w:ascii="Calibri" w:hAnsi="Calibri"/>
                <w:sz w:val="22"/>
              </w:rPr>
              <w:t>+20 bps YoY</w:t>
            </w:r>
          </w:p>
        </w:tc>
        <w:tc>
          <w:tcPr>
            <w:tcW w:type="dxa" w:w="1234"/>
          </w:tcPr>
          <w:p>
            <w:r>
              <w:rPr>
                <w:rFonts w:ascii="Calibri" w:hAnsi="Calibri"/>
                <w:sz w:val="22"/>
              </w:rPr>
              <w:t>Mid-to-upper 93% range (Q2/Q3)</w:t>
            </w:r>
          </w:p>
        </w:tc>
        <w:tc>
          <w:tcPr>
            <w:tcW w:type="dxa" w:w="1234"/>
          </w:tcPr>
          <w:p>
            <w:r>
              <w:rPr>
                <w:rFonts w:ascii="Calibri" w:hAnsi="Calibri"/>
                <w:sz w:val="22"/>
              </w:rPr>
              <w:t>~flat vs. guided range</w:t>
            </w:r>
          </w:p>
        </w:tc>
      </w:tr>
      <w:tr>
        <w:tc>
          <w:tcPr>
            <w:tcW w:type="dxa" w:w="1234"/>
          </w:tcPr>
          <w:p>
            <w:r>
              <w:rPr>
                <w:rFonts w:ascii="Calibri" w:hAnsi="Calibri"/>
                <w:sz w:val="22"/>
              </w:rPr>
              <w:t>Commercial Leased Rate (%)</w:t>
            </w:r>
          </w:p>
        </w:tc>
        <w:tc>
          <w:tcPr>
            <w:tcW w:type="dxa" w:w="1234"/>
          </w:tcPr>
          <w:p>
            <w:r>
              <w:rPr>
                <w:rFonts w:ascii="Calibri" w:hAnsi="Calibri"/>
                <w:sz w:val="22"/>
              </w:rPr>
              <w:t>96.1%</w:t>
            </w:r>
          </w:p>
        </w:tc>
        <w:tc>
          <w:tcPr>
            <w:tcW w:type="dxa" w:w="1234"/>
          </w:tcPr>
          <w:p>
            <w:r>
              <w:rPr>
                <w:rFonts w:ascii="Calibri" w:hAnsi="Calibri"/>
                <w:sz w:val="22"/>
              </w:rPr>
              <w:t>95.4%</w:t>
            </w:r>
          </w:p>
        </w:tc>
        <w:tc>
          <w:tcPr>
            <w:tcW w:type="dxa" w:w="1234"/>
          </w:tcPr>
          <w:p>
            <w:r>
              <w:rPr>
                <w:rFonts w:ascii="Calibri" w:hAnsi="Calibri"/>
                <w:sz w:val="22"/>
              </w:rPr>
              <w:t>95.97%</w:t>
            </w:r>
          </w:p>
        </w:tc>
        <w:tc>
          <w:tcPr>
            <w:tcW w:type="dxa" w:w="1234"/>
          </w:tcPr>
          <w:p>
            <w:r>
              <w:rPr>
                <w:rFonts w:ascii="Calibri" w:hAnsi="Calibri"/>
                <w:sz w:val="22"/>
              </w:rPr>
              <w:t>+57 bps YoY</w:t>
            </w:r>
          </w:p>
        </w:tc>
        <w:tc>
          <w:tcPr>
            <w:tcW w:type="dxa" w:w="1234"/>
          </w:tcPr>
          <w:p>
            <w:r>
              <w:rPr>
                <w:rFonts w:ascii="Calibri" w:hAnsi="Calibri"/>
                <w:sz w:val="22"/>
              </w:rPr>
              <w:t>N/A (not separately guided)</w:t>
            </w:r>
          </w:p>
        </w:tc>
        <w:tc>
          <w:tcPr>
            <w:tcW w:type="dxa" w:w="1234"/>
          </w:tcPr>
          <w:p>
            <w:r>
              <w:rPr>
                <w:rFonts w:ascii="Calibri" w:hAnsi="Calibri"/>
                <w:sz w:val="22"/>
              </w:rPr>
              <w:t>N/A</w:t>
            </w:r>
          </w:p>
        </w:tc>
      </w:tr>
    </w:tbl>
    <w:p>
      <w:r>
        <w:rPr>
          <w:rFonts w:ascii="Calibri" w:hAnsi="Calibri"/>
          <w:color w:val="525866"/>
          <w:sz w:val="22"/>
        </w:rPr>
        <w:t>Source: Visible Alpha consensus and actuals data. Same-store NOI consensus of 4.5% is above management's explicit Q2 guidance of "dip into the 2s" on a GAAP basis — this gap likely reflects the street embedding some upside vs. guidance, consistent with FRT's recent beat pattern. Note: Q2 2026 same-store NOI consensus of 4.5% may reflect full-year blending by some analysts; management's explicit Q2 GAAP guidance is ~2%.</w:t>
      </w:r>
    </w:p>
    <w:p>
      <w:pPr>
        <w:pStyle w:val="Heading3"/>
      </w:pPr>
      <w:r>
        <w:rPr>
          <w:rFonts w:ascii="Calibri" w:hAnsi="Calibri"/>
          <w:b/>
          <w:color w:val="3B4259"/>
          <w:sz w:val="24"/>
        </w:rPr>
        <w:t>Table 2 — Beat/Miss History (Last 8 Quarters, Core FFO per Share &amp; Same-Store NOI Growth)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Core FFO/sh</w:t>
            </w:r>
          </w:p>
        </w:tc>
        <w:tc>
          <w:tcPr>
            <w:tcW w:type="dxa" w:w="1440"/>
          </w:tcPr>
          <w:p>
            <w:r>
              <w:rPr>
                <w:rFonts w:ascii="Calibri" w:hAnsi="Calibri"/>
                <w:sz w:val="22"/>
              </w:rPr>
              <w:t>$1.88</w:t>
            </w:r>
          </w:p>
        </w:tc>
        <w:tc>
          <w:tcPr>
            <w:tcW w:type="dxa" w:w="1440"/>
          </w:tcPr>
          <w:p>
            <w:r>
              <w:rPr>
                <w:rFonts w:ascii="Calibri" w:hAnsi="Calibri"/>
                <w:sz w:val="22"/>
              </w:rPr>
              <w:t>$1.820</w:t>
            </w:r>
          </w:p>
        </w:tc>
        <w:tc>
          <w:tcPr>
            <w:tcW w:type="dxa" w:w="1440"/>
          </w:tcPr>
          <w:p>
            <w:r>
              <w:rPr>
                <w:rFonts w:ascii="Calibri" w:hAnsi="Calibri"/>
                <w:b/>
                <w:color w:val="30A46C"/>
                <w:sz w:val="22"/>
              </w:rPr>
              <w:t>+3.3%</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SS NOI Growth</w:t>
            </w:r>
          </w:p>
        </w:tc>
        <w:tc>
          <w:tcPr>
            <w:tcW w:type="dxa" w:w="1440"/>
          </w:tcPr>
          <w:p>
            <w:r>
              <w:rPr>
                <w:rFonts w:ascii="Calibri" w:hAnsi="Calibri"/>
                <w:sz w:val="22"/>
              </w:rPr>
              <w:t>4.7%</w:t>
            </w:r>
          </w:p>
        </w:tc>
        <w:tc>
          <w:tcPr>
            <w:tcW w:type="dxa" w:w="1440"/>
          </w:tcPr>
          <w:p>
            <w:r>
              <w:rPr>
                <w:rFonts w:ascii="Calibri" w:hAnsi="Calibri"/>
                <w:sz w:val="22"/>
              </w:rPr>
              <w:t>5.3%</w:t>
            </w:r>
          </w:p>
        </w:tc>
        <w:tc>
          <w:tcPr>
            <w:tcW w:type="dxa" w:w="1440"/>
          </w:tcPr>
          <w:p>
            <w:r>
              <w:rPr>
                <w:rFonts w:ascii="Calibri" w:hAnsi="Calibri"/>
                <w:b/>
                <w:color w:val="E5484D"/>
                <w:sz w:val="22"/>
              </w:rPr>
              <w:t>-60 bps</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Core FFO/sh</w:t>
            </w:r>
          </w:p>
        </w:tc>
        <w:tc>
          <w:tcPr>
            <w:tcW w:type="dxa" w:w="1440"/>
          </w:tcPr>
          <w:p>
            <w:r>
              <w:rPr>
                <w:rFonts w:ascii="Calibri" w:hAnsi="Calibri"/>
                <w:sz w:val="22"/>
              </w:rPr>
              <w:t>$1.84</w:t>
            </w:r>
          </w:p>
        </w:tc>
        <w:tc>
          <w:tcPr>
            <w:tcW w:type="dxa" w:w="1440"/>
          </w:tcPr>
          <w:p>
            <w:r>
              <w:rPr>
                <w:rFonts w:ascii="Calibri" w:hAnsi="Calibri"/>
                <w:sz w:val="22"/>
              </w:rPr>
              <w:t>$1.857</w:t>
            </w:r>
          </w:p>
        </w:tc>
        <w:tc>
          <w:tcPr>
            <w:tcW w:type="dxa" w:w="1440"/>
          </w:tcPr>
          <w:p>
            <w:r>
              <w:rPr>
                <w:rFonts w:ascii="Calibri" w:hAnsi="Calibri"/>
                <w:b/>
                <w:color w:val="E5484D"/>
                <w:sz w:val="22"/>
              </w:rPr>
              <w:t>-0.9%</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SS NOI Growth</w:t>
            </w:r>
          </w:p>
        </w:tc>
        <w:tc>
          <w:tcPr>
            <w:tcW w:type="dxa" w:w="1440"/>
          </w:tcPr>
          <w:p>
            <w:r>
              <w:rPr>
                <w:rFonts w:ascii="Calibri" w:hAnsi="Calibri"/>
                <w:sz w:val="22"/>
              </w:rPr>
              <w:t>2.8%</w:t>
            </w:r>
          </w:p>
        </w:tc>
        <w:tc>
          <w:tcPr>
            <w:tcW w:type="dxa" w:w="1440"/>
          </w:tcPr>
          <w:p>
            <w:r>
              <w:rPr>
                <w:rFonts w:ascii="Calibri" w:hAnsi="Calibri"/>
                <w:sz w:val="22"/>
              </w:rPr>
              <w:t>4.2%</w:t>
            </w:r>
          </w:p>
        </w:tc>
        <w:tc>
          <w:tcPr>
            <w:tcW w:type="dxa" w:w="1440"/>
          </w:tcPr>
          <w:p>
            <w:r>
              <w:rPr>
                <w:rFonts w:ascii="Calibri" w:hAnsi="Calibri"/>
                <w:b/>
                <w:color w:val="E5484D"/>
                <w:sz w:val="22"/>
              </w:rPr>
              <w:t>-140 bps</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Core FFO/sh</w:t>
            </w:r>
          </w:p>
        </w:tc>
        <w:tc>
          <w:tcPr>
            <w:tcW w:type="dxa" w:w="1440"/>
          </w:tcPr>
          <w:p>
            <w:r>
              <w:rPr>
                <w:rFonts w:ascii="Calibri" w:hAnsi="Calibri"/>
                <w:sz w:val="22"/>
              </w:rPr>
              <w:t>$1.767</w:t>
            </w:r>
          </w:p>
        </w:tc>
        <w:tc>
          <w:tcPr>
            <w:tcW w:type="dxa" w:w="1440"/>
          </w:tcPr>
          <w:p>
            <w:r>
              <w:rPr>
                <w:rFonts w:ascii="Calibri" w:hAnsi="Calibri"/>
                <w:sz w:val="22"/>
              </w:rPr>
              <w:t>$1.764</w:t>
            </w:r>
          </w:p>
        </w:tc>
        <w:tc>
          <w:tcPr>
            <w:tcW w:type="dxa" w:w="1440"/>
          </w:tcPr>
          <w:p>
            <w:r>
              <w:rPr>
                <w:rFonts w:ascii="Calibri" w:hAnsi="Calibri"/>
                <w:b/>
                <w:color w:val="30A46C"/>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SS NOI Growth</w:t>
            </w:r>
          </w:p>
        </w:tc>
        <w:tc>
          <w:tcPr>
            <w:tcW w:type="dxa" w:w="1440"/>
          </w:tcPr>
          <w:p>
            <w:r>
              <w:rPr>
                <w:rFonts w:ascii="Calibri" w:hAnsi="Calibri"/>
                <w:sz w:val="22"/>
              </w:rPr>
              <w:t>4.4%</w:t>
            </w:r>
          </w:p>
        </w:tc>
        <w:tc>
          <w:tcPr>
            <w:tcW w:type="dxa" w:w="1440"/>
          </w:tcPr>
          <w:p>
            <w:r>
              <w:rPr>
                <w:rFonts w:ascii="Calibri" w:hAnsi="Calibri"/>
                <w:sz w:val="22"/>
              </w:rPr>
              <w:t>3.2%</w:t>
            </w:r>
          </w:p>
        </w:tc>
        <w:tc>
          <w:tcPr>
            <w:tcW w:type="dxa" w:w="1440"/>
          </w:tcPr>
          <w:p>
            <w:r>
              <w:rPr>
                <w:rFonts w:ascii="Calibri" w:hAnsi="Calibri"/>
                <w:b/>
                <w:color w:val="30A46C"/>
                <w:sz w:val="22"/>
              </w:rPr>
              <w:t>+120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Core FFO/sh</w:t>
            </w:r>
          </w:p>
        </w:tc>
        <w:tc>
          <w:tcPr>
            <w:tcW w:type="dxa" w:w="1440"/>
          </w:tcPr>
          <w:p>
            <w:r>
              <w:rPr>
                <w:rFonts w:ascii="Calibri" w:hAnsi="Calibri"/>
                <w:sz w:val="22"/>
              </w:rPr>
              <w:t>$1.806</w:t>
            </w:r>
          </w:p>
        </w:tc>
        <w:tc>
          <w:tcPr>
            <w:tcW w:type="dxa" w:w="1440"/>
          </w:tcPr>
          <w:p>
            <w:r>
              <w:rPr>
                <w:rFonts w:ascii="Calibri" w:hAnsi="Calibri"/>
                <w:sz w:val="22"/>
              </w:rPr>
              <w:t>$1.725</w:t>
            </w:r>
          </w:p>
        </w:tc>
        <w:tc>
          <w:tcPr>
            <w:tcW w:type="dxa" w:w="1440"/>
          </w:tcPr>
          <w:p>
            <w:r>
              <w:rPr>
                <w:rFonts w:ascii="Calibri" w:hAnsi="Calibri"/>
                <w:b/>
                <w:color w:val="30A46C"/>
                <w:sz w:val="22"/>
              </w:rPr>
              <w:t>+4.7%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SS NOI Growth</w:t>
            </w:r>
          </w:p>
        </w:tc>
        <w:tc>
          <w:tcPr>
            <w:tcW w:type="dxa" w:w="1440"/>
          </w:tcPr>
          <w:p>
            <w:r>
              <w:rPr>
                <w:rFonts w:ascii="Calibri" w:hAnsi="Calibri"/>
                <w:sz w:val="22"/>
              </w:rPr>
              <w:t>4.5%</w:t>
            </w:r>
          </w:p>
        </w:tc>
        <w:tc>
          <w:tcPr>
            <w:tcW w:type="dxa" w:w="1440"/>
          </w:tcPr>
          <w:p>
            <w:r>
              <w:rPr>
                <w:rFonts w:ascii="Calibri" w:hAnsi="Calibri"/>
                <w:sz w:val="22"/>
              </w:rPr>
              <w:t>2.2%</w:t>
            </w:r>
          </w:p>
        </w:tc>
        <w:tc>
          <w:tcPr>
            <w:tcW w:type="dxa" w:w="1440"/>
          </w:tcPr>
          <w:p>
            <w:r>
              <w:rPr>
                <w:rFonts w:ascii="Calibri" w:hAnsi="Calibri"/>
                <w:b/>
                <w:color w:val="30A46C"/>
                <w:sz w:val="22"/>
              </w:rPr>
              <w:t>+230 bps</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Core FFO/sh</w:t>
            </w:r>
          </w:p>
        </w:tc>
        <w:tc>
          <w:tcPr>
            <w:tcW w:type="dxa" w:w="1440"/>
          </w:tcPr>
          <w:p>
            <w:r>
              <w:rPr>
                <w:rFonts w:ascii="Calibri" w:hAnsi="Calibri"/>
                <w:sz w:val="22"/>
              </w:rPr>
              <w:t>$1.70</w:t>
            </w:r>
          </w:p>
        </w:tc>
        <w:tc>
          <w:tcPr>
            <w:tcW w:type="dxa" w:w="1440"/>
          </w:tcPr>
          <w:p>
            <w:r>
              <w:rPr>
                <w:rFonts w:ascii="Calibri" w:hAnsi="Calibri"/>
                <w:sz w:val="22"/>
              </w:rPr>
              <w:t>$1.691</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SS NOI Growth</w:t>
            </w:r>
          </w:p>
        </w:tc>
        <w:tc>
          <w:tcPr>
            <w:tcW w:type="dxa" w:w="1440"/>
          </w:tcPr>
          <w:p>
            <w:r>
              <w:rPr>
                <w:rFonts w:ascii="Calibri" w:hAnsi="Calibri"/>
                <w:sz w:val="22"/>
              </w:rPr>
              <w:t>2.6%</w:t>
            </w:r>
          </w:p>
        </w:tc>
        <w:tc>
          <w:tcPr>
            <w:tcW w:type="dxa" w:w="1440"/>
          </w:tcPr>
          <w:p>
            <w:r>
              <w:rPr>
                <w:rFonts w:ascii="Calibri" w:hAnsi="Calibri"/>
                <w:sz w:val="22"/>
              </w:rPr>
              <w:t>3.7%</w:t>
            </w:r>
          </w:p>
        </w:tc>
        <w:tc>
          <w:tcPr>
            <w:tcW w:type="dxa" w:w="1440"/>
          </w:tcPr>
          <w:p>
            <w:r>
              <w:rPr>
                <w:rFonts w:ascii="Calibri" w:hAnsi="Calibri"/>
                <w:b/>
                <w:color w:val="E5484D"/>
                <w:sz w:val="22"/>
              </w:rPr>
              <w:t>-110 bps</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Core FFO/sh</w:t>
            </w:r>
          </w:p>
        </w:tc>
        <w:tc>
          <w:tcPr>
            <w:tcW w:type="dxa" w:w="1440"/>
          </w:tcPr>
          <w:p>
            <w:r>
              <w:rPr>
                <w:rFonts w:ascii="Calibri" w:hAnsi="Calibri"/>
                <w:sz w:val="22"/>
              </w:rPr>
              <w:t>$1.728</w:t>
            </w:r>
          </w:p>
        </w:tc>
        <w:tc>
          <w:tcPr>
            <w:tcW w:type="dxa" w:w="1440"/>
          </w:tcPr>
          <w:p>
            <w:r>
              <w:rPr>
                <w:rFonts w:ascii="Calibri" w:hAnsi="Calibri"/>
                <w:sz w:val="22"/>
              </w:rPr>
              <w:t>$1.737</w:t>
            </w:r>
          </w:p>
        </w:tc>
        <w:tc>
          <w:tcPr>
            <w:tcW w:type="dxa" w:w="1440"/>
          </w:tcPr>
          <w:p>
            <w:r>
              <w:rPr>
                <w:rFonts w:ascii="Calibri" w:hAnsi="Calibri"/>
                <w:b/>
                <w:color w:val="E5484D"/>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SS NOI Growth</w:t>
            </w:r>
          </w:p>
        </w:tc>
        <w:tc>
          <w:tcPr>
            <w:tcW w:type="dxa" w:w="1440"/>
          </w:tcPr>
          <w:p>
            <w:r>
              <w:rPr>
                <w:rFonts w:ascii="Calibri" w:hAnsi="Calibri"/>
                <w:sz w:val="22"/>
              </w:rPr>
              <w:t>3.8%</w:t>
            </w:r>
          </w:p>
        </w:tc>
        <w:tc>
          <w:tcPr>
            <w:tcW w:type="dxa" w:w="1440"/>
          </w:tcPr>
          <w:p>
            <w:r>
              <w:rPr>
                <w:rFonts w:ascii="Calibri" w:hAnsi="Calibri"/>
                <w:sz w:val="22"/>
              </w:rPr>
              <w:t>5.9%</w:t>
            </w:r>
          </w:p>
        </w:tc>
        <w:tc>
          <w:tcPr>
            <w:tcW w:type="dxa" w:w="1440"/>
          </w:tcPr>
          <w:p>
            <w:r>
              <w:rPr>
                <w:rFonts w:ascii="Calibri" w:hAnsi="Calibri"/>
                <w:b/>
                <w:color w:val="E5484D"/>
                <w:sz w:val="22"/>
              </w:rPr>
              <w:t>-210 bps</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Core FFO/sh</w:t>
            </w:r>
          </w:p>
        </w:tc>
        <w:tc>
          <w:tcPr>
            <w:tcW w:type="dxa" w:w="1440"/>
          </w:tcPr>
          <w:p>
            <w:r>
              <w:rPr>
                <w:rFonts w:ascii="Calibri" w:hAnsi="Calibri"/>
                <w:sz w:val="22"/>
              </w:rPr>
              <w:t>$1.707</w:t>
            </w:r>
          </w:p>
        </w:tc>
        <w:tc>
          <w:tcPr>
            <w:tcW w:type="dxa" w:w="1440"/>
          </w:tcPr>
          <w:p>
            <w:r>
              <w:rPr>
                <w:rFonts w:ascii="Calibri" w:hAnsi="Calibri"/>
                <w:sz w:val="22"/>
              </w:rPr>
              <w:t>$1.716</w:t>
            </w:r>
          </w:p>
        </w:tc>
        <w:tc>
          <w:tcPr>
            <w:tcW w:type="dxa" w:w="1440"/>
          </w:tcPr>
          <w:p>
            <w:r>
              <w:rPr>
                <w:rFonts w:ascii="Calibri" w:hAnsi="Calibri"/>
                <w:b/>
                <w:color w:val="E5484D"/>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SS NOI Growth</w:t>
            </w:r>
          </w:p>
        </w:tc>
        <w:tc>
          <w:tcPr>
            <w:tcW w:type="dxa" w:w="1440"/>
          </w:tcPr>
          <w:p>
            <w:r>
              <w:rPr>
                <w:rFonts w:ascii="Calibri" w:hAnsi="Calibri"/>
                <w:sz w:val="22"/>
              </w:rPr>
              <w:t>2.0%</w:t>
            </w:r>
          </w:p>
        </w:tc>
        <w:tc>
          <w:tcPr>
            <w:tcW w:type="dxa" w:w="1440"/>
          </w:tcPr>
          <w:p>
            <w:r>
              <w:rPr>
                <w:rFonts w:ascii="Calibri" w:hAnsi="Calibri"/>
                <w:sz w:val="22"/>
              </w:rPr>
              <w:t>4.7%</w:t>
            </w:r>
          </w:p>
        </w:tc>
        <w:tc>
          <w:tcPr>
            <w:tcW w:type="dxa" w:w="1440"/>
          </w:tcPr>
          <w:p>
            <w:r>
              <w:rPr>
                <w:rFonts w:ascii="Calibri" w:hAnsi="Calibri"/>
                <w:b/>
                <w:color w:val="E5484D"/>
                <w:sz w:val="22"/>
              </w:rPr>
              <w:t>-270 bps</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Core FFO/sh</w:t>
            </w:r>
          </w:p>
        </w:tc>
        <w:tc>
          <w:tcPr>
            <w:tcW w:type="dxa" w:w="1440"/>
          </w:tcPr>
          <w:p>
            <w:r>
              <w:rPr>
                <w:rFonts w:ascii="Calibri" w:hAnsi="Calibri"/>
                <w:sz w:val="22"/>
              </w:rPr>
              <w:t>$1.689</w:t>
            </w:r>
          </w:p>
        </w:tc>
        <w:tc>
          <w:tcPr>
            <w:tcW w:type="dxa" w:w="1440"/>
          </w:tcPr>
          <w:p>
            <w:r>
              <w:rPr>
                <w:rFonts w:ascii="Calibri" w:hAnsi="Calibri"/>
                <w:sz w:val="22"/>
              </w:rPr>
              <w:t>$1.679</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SS NOI Growth</w:t>
            </w:r>
          </w:p>
        </w:tc>
        <w:tc>
          <w:tcPr>
            <w:tcW w:type="dxa" w:w="1440"/>
          </w:tcPr>
          <w:p>
            <w:r>
              <w:rPr>
                <w:rFonts w:ascii="Calibri" w:hAnsi="Calibri"/>
                <w:sz w:val="22"/>
              </w:rPr>
              <w:t>2.3%</w:t>
            </w:r>
          </w:p>
        </w:tc>
        <w:tc>
          <w:tcPr>
            <w:tcW w:type="dxa" w:w="1440"/>
          </w:tcPr>
          <w:p>
            <w:r>
              <w:rPr>
                <w:rFonts w:ascii="Calibri" w:hAnsi="Calibri"/>
                <w:sz w:val="22"/>
              </w:rPr>
              <w:t>3.0%</w:t>
            </w:r>
          </w:p>
        </w:tc>
        <w:tc>
          <w:tcPr>
            <w:tcW w:type="dxa" w:w="1440"/>
          </w:tcPr>
          <w:p>
            <w:r>
              <w:rPr>
                <w:rFonts w:ascii="Calibri" w:hAnsi="Calibri"/>
                <w:b/>
                <w:color w:val="E5484D"/>
                <w:sz w:val="22"/>
              </w:rPr>
              <w:t>-70 bps</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Core FFO beats have been inconsistent (4 beats, 4 misses over 8 quarters), but the Q1 2026 beat was the largest in magnitude (+3.3%); same-store NOI growth has consistently missed consensus over the trailing 8 quarters except Q2 and Q3 2025, suggesting the street tends to set an optimistic bar on this KPI — a pattern that may repeat in Q2 2026 given the wide gap between consensus (~4.5%) and management's explicit guidance (~2% GAAP).</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raised once since last earnings (at the Q1 print on May 1) and further reinforced at the May 21 Investor Day with a multi-year growth framework; tone has shifted decisively more confident, with management describing the current period as the start of "several years of outsized growth."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Core FFO/sh</w:t>
            </w:r>
          </w:p>
        </w:tc>
        <w:tc>
          <w:tcPr>
            <w:tcW w:type="dxa" w:w="1728"/>
          </w:tcPr>
          <w:p>
            <w:r>
              <w:rPr>
                <w:rFonts w:ascii="Calibri" w:hAnsi="Calibri"/>
                <w:sz w:val="22"/>
              </w:rPr>
              <w:t>$7.43–$7.52 (mid: $7.475)</w:t>
            </w:r>
          </w:p>
        </w:tc>
        <w:tc>
          <w:tcPr>
            <w:tcW w:type="dxa" w:w="1728"/>
          </w:tcPr>
          <w:p>
            <w:r>
              <w:rPr>
                <w:rFonts w:ascii="Calibri" w:hAnsi="Calibri"/>
                <w:sz w:val="22"/>
              </w:rPr>
              <w:t>$7.46–$7.55 (mid: $7.505)</w:t>
            </w:r>
          </w:p>
        </w:tc>
        <w:tc>
          <w:tcPr>
            <w:tcW w:type="dxa" w:w="1728"/>
          </w:tcPr>
          <w:p>
            <w:r>
              <w:rPr>
                <w:rFonts w:ascii="Calibri" w:hAnsi="Calibri"/>
                <w:sz w:val="22"/>
              </w:rPr>
              <w:t>$7.525</w:t>
            </w:r>
          </w:p>
        </w:tc>
        <w:tc>
          <w:tcPr>
            <w:tcW w:type="dxa" w:w="1728"/>
          </w:tcPr>
          <w:p>
            <w:r>
              <w:rPr>
                <w:rFonts w:ascii="Calibri" w:hAnsi="Calibri"/>
                <w:sz w:val="22"/>
              </w:rPr>
              <w:t>↑ Raised at Q1 2026 earnings (May 1, 2026); driven by operational outperformance, acquisition contribution, and higher term fees; management tone very confident</w:t>
            </w:r>
          </w:p>
        </w:tc>
      </w:tr>
      <w:tr>
        <w:tc>
          <w:tcPr>
            <w:tcW w:type="dxa" w:w="1728"/>
          </w:tcPr>
          <w:p>
            <w:r>
              <w:rPr>
                <w:rFonts w:ascii="Calibri" w:hAnsi="Calibri"/>
                <w:sz w:val="22"/>
              </w:rPr>
              <w:t>Q2 2026 Core FFO/sh</w:t>
            </w:r>
          </w:p>
        </w:tc>
        <w:tc>
          <w:tcPr>
            <w:tcW w:type="dxa" w:w="1728"/>
          </w:tcPr>
          <w:p>
            <w:r>
              <w:rPr>
                <w:rFonts w:ascii="Calibri" w:hAnsi="Calibri"/>
                <w:sz w:val="22"/>
              </w:rPr>
              <w:t>Not separately guided at Q4 2025</w:t>
            </w:r>
          </w:p>
        </w:tc>
        <w:tc>
          <w:tcPr>
            <w:tcW w:type="dxa" w:w="1728"/>
          </w:tcPr>
          <w:p>
            <w:r>
              <w:rPr>
                <w:rFonts w:ascii="Calibri" w:hAnsi="Calibri"/>
                <w:sz w:val="22"/>
              </w:rPr>
              <w:t>$1.83–$1.86 (mid: $1.845)</w:t>
            </w:r>
          </w:p>
        </w:tc>
        <w:tc>
          <w:tcPr>
            <w:tcW w:type="dxa" w:w="1728"/>
          </w:tcPr>
          <w:p>
            <w:r>
              <w:rPr>
                <w:rFonts w:ascii="Calibri" w:hAnsi="Calibri"/>
                <w:sz w:val="22"/>
              </w:rPr>
              <w:t>$1.856</w:t>
            </w:r>
          </w:p>
        </w:tc>
        <w:tc>
          <w:tcPr>
            <w:tcW w:type="dxa" w:w="1728"/>
          </w:tcPr>
          <w:p>
            <w:r>
              <w:rPr>
                <w:rFonts w:ascii="Calibri" w:hAnsi="Calibri"/>
                <w:sz w:val="22"/>
              </w:rPr>
              <w:t>New guidance issued at Q1 2026 earnings (May 1, 2026); sequential dip from Q1 ($1.88) attributed to refinancing drag, Blair lease-up dilution, and Q1 timing pull-forwards</w:t>
            </w:r>
          </w:p>
        </w:tc>
      </w:tr>
      <w:tr>
        <w:tc>
          <w:tcPr>
            <w:tcW w:type="dxa" w:w="1728"/>
          </w:tcPr>
          <w:p>
            <w:r>
              <w:rPr>
                <w:rFonts w:ascii="Calibri" w:hAnsi="Calibri"/>
                <w:sz w:val="22"/>
              </w:rPr>
              <w:t>Q3 2026 Core FFO/sh</w:t>
            </w:r>
          </w:p>
        </w:tc>
        <w:tc>
          <w:tcPr>
            <w:tcW w:type="dxa" w:w="1728"/>
          </w:tcPr>
          <w:p>
            <w:r>
              <w:rPr>
                <w:rFonts w:ascii="Calibri" w:hAnsi="Calibri"/>
                <w:sz w:val="22"/>
              </w:rPr>
              <w:t>Not separately guided at Q4 2025</w:t>
            </w:r>
          </w:p>
        </w:tc>
        <w:tc>
          <w:tcPr>
            <w:tcW w:type="dxa" w:w="1728"/>
          </w:tcPr>
          <w:p>
            <w:r>
              <w:rPr>
                <w:rFonts w:ascii="Calibri" w:hAnsi="Calibri"/>
                <w:sz w:val="22"/>
              </w:rPr>
              <w:t>$1.84–$1.87 (mid: $1.855)</w:t>
            </w:r>
          </w:p>
        </w:tc>
        <w:tc>
          <w:tcPr>
            <w:tcW w:type="dxa" w:w="1728"/>
          </w:tcPr>
          <w:p>
            <w:r>
              <w:rPr>
                <w:rFonts w:ascii="Calibri" w:hAnsi="Calibri"/>
                <w:sz w:val="22"/>
              </w:rPr>
              <w:t>$1.856</w:t>
            </w:r>
          </w:p>
        </w:tc>
        <w:tc>
          <w:tcPr>
            <w:tcW w:type="dxa" w:w="1728"/>
          </w:tcPr>
          <w:p>
            <w:r>
              <w:rPr>
                <w:rFonts w:ascii="Calibri" w:hAnsi="Calibri"/>
                <w:sz w:val="22"/>
              </w:rPr>
              <w:t>New guidance issued at Q1 2026 earnings (May 1, 2026); similar sequential level to Q2 before Q4 step-up</w:t>
            </w:r>
          </w:p>
        </w:tc>
      </w:tr>
      <w:tr>
        <w:tc>
          <w:tcPr>
            <w:tcW w:type="dxa" w:w="1728"/>
          </w:tcPr>
          <w:p>
            <w:r>
              <w:rPr>
                <w:rFonts w:ascii="Calibri" w:hAnsi="Calibri"/>
                <w:sz w:val="22"/>
              </w:rPr>
              <w:t>Q4 2026 Core FFO/sh</w:t>
            </w:r>
          </w:p>
        </w:tc>
        <w:tc>
          <w:tcPr>
            <w:tcW w:type="dxa" w:w="1728"/>
          </w:tcPr>
          <w:p>
            <w:r>
              <w:rPr>
                <w:rFonts w:ascii="Calibri" w:hAnsi="Calibri"/>
                <w:sz w:val="22"/>
              </w:rPr>
              <w:t>Not separately guided at Q4 2025</w:t>
            </w:r>
          </w:p>
        </w:tc>
        <w:tc>
          <w:tcPr>
            <w:tcW w:type="dxa" w:w="1728"/>
          </w:tcPr>
          <w:p>
            <w:r>
              <w:rPr>
                <w:rFonts w:ascii="Calibri" w:hAnsi="Calibri"/>
                <w:sz w:val="22"/>
              </w:rPr>
              <w:t>"Low to mid-$1.90s"</w:t>
            </w:r>
          </w:p>
        </w:tc>
        <w:tc>
          <w:tcPr>
            <w:tcW w:type="dxa" w:w="1728"/>
          </w:tcPr>
          <w:p>
            <w:r>
              <w:rPr>
                <w:rFonts w:ascii="Calibri" w:hAnsi="Calibri"/>
                <w:sz w:val="22"/>
              </w:rPr>
              <w:t>~$1.92 (implied from FY guidance)</w:t>
            </w:r>
          </w:p>
        </w:tc>
        <w:tc>
          <w:tcPr>
            <w:tcW w:type="dxa" w:w="1728"/>
          </w:tcPr>
          <w:p>
            <w:r>
              <w:rPr>
                <w:rFonts w:ascii="Calibri" w:hAnsi="Calibri"/>
                <w:sz w:val="22"/>
              </w:rPr>
              <w:t>New guidance issued at Q1 2026 earnings (May 1, 2026); step-up driven by contractual Oct. 1 rent commencement dates on already-signed leases</w:t>
            </w:r>
          </w:p>
        </w:tc>
      </w:tr>
      <w:tr>
        <w:tc>
          <w:tcPr>
            <w:tcW w:type="dxa" w:w="1728"/>
          </w:tcPr>
          <w:p>
            <w:r>
              <w:rPr>
                <w:rFonts w:ascii="Calibri" w:hAnsi="Calibri"/>
                <w:sz w:val="22"/>
              </w:rPr>
              <w:t>FY 2026 Comparable POI Growth (GAAP)</w:t>
            </w:r>
          </w:p>
        </w:tc>
        <w:tc>
          <w:tcPr>
            <w:tcW w:type="dxa" w:w="1728"/>
          </w:tcPr>
          <w:p>
            <w:r>
              <w:rPr>
                <w:rFonts w:ascii="Calibri" w:hAnsi="Calibri"/>
                <w:sz w:val="22"/>
              </w:rPr>
              <w:t>3.0%–3.5% (mid: 3.25%)</w:t>
            </w:r>
          </w:p>
        </w:tc>
        <w:tc>
          <w:tcPr>
            <w:tcW w:type="dxa" w:w="1728"/>
          </w:tcPr>
          <w:p>
            <w:r>
              <w:rPr>
                <w:rFonts w:ascii="Calibri" w:hAnsi="Calibri"/>
                <w:sz w:val="22"/>
              </w:rPr>
              <w:t>3.125%–3.625% (mid: 3.375%)</w:t>
            </w:r>
          </w:p>
        </w:tc>
        <w:tc>
          <w:tcPr>
            <w:tcW w:type="dxa" w:w="1728"/>
          </w:tcPr>
          <w:p>
            <w:r>
              <w:rPr>
                <w:rFonts w:ascii="Calibri" w:hAnsi="Calibri"/>
                <w:sz w:val="22"/>
              </w:rPr>
              <w:t>3.05%</w:t>
            </w:r>
          </w:p>
        </w:tc>
        <w:tc>
          <w:tcPr>
            <w:tcW w:type="dxa" w:w="1728"/>
          </w:tcPr>
          <w:p>
            <w:r>
              <w:rPr>
                <w:rFonts w:ascii="Calibri" w:hAnsi="Calibri"/>
                <w:sz w:val="22"/>
              </w:rPr>
              <w:t>↑ Raised and tightened at Q1 2026 earnings (May 1, 2026); Q2/Q3 expected to dip to ~2% GAAP before Q4 recovery to 3.5%–4.0%</w:t>
            </w:r>
          </w:p>
        </w:tc>
      </w:tr>
      <w:tr>
        <w:tc>
          <w:tcPr>
            <w:tcW w:type="dxa" w:w="1728"/>
          </w:tcPr>
          <w:p>
            <w:r>
              <w:rPr>
                <w:rFonts w:ascii="Calibri" w:hAnsi="Calibri"/>
                <w:sz w:val="22"/>
              </w:rPr>
              <w:t>FY 2026 Incremental Redevelopment POI</w:t>
            </w:r>
          </w:p>
        </w:tc>
        <w:tc>
          <w:tcPr>
            <w:tcW w:type="dxa" w:w="1728"/>
          </w:tcPr>
          <w:p>
            <w:r>
              <w:rPr>
                <w:rFonts w:ascii="Calibri" w:hAnsi="Calibri"/>
                <w:sz w:val="22"/>
              </w:rPr>
              <w:t>$12M–$14M</w:t>
            </w:r>
          </w:p>
        </w:tc>
        <w:tc>
          <w:tcPr>
            <w:tcW w:type="dxa" w:w="1728"/>
          </w:tcPr>
          <w:p>
            <w:r>
              <w:rPr>
                <w:rFonts w:ascii="Calibri" w:hAnsi="Calibri"/>
                <w:sz w:val="22"/>
              </w:rPr>
              <w:t>$14M–$15M</w:t>
            </w:r>
          </w:p>
        </w:tc>
        <w:tc>
          <w:tcPr>
            <w:tcW w:type="dxa" w:w="1728"/>
          </w:tcPr>
          <w:p>
            <w:r>
              <w:rPr>
                <w:rFonts w:ascii="Calibri" w:hAnsi="Calibri"/>
                <w:sz w:val="22"/>
              </w:rPr>
              <w:t>N/A</w:t>
            </w:r>
          </w:p>
        </w:tc>
        <w:tc>
          <w:tcPr>
            <w:tcW w:type="dxa" w:w="1728"/>
          </w:tcPr>
          <w:p>
            <w:r>
              <w:rPr>
                <w:rFonts w:ascii="Calibri" w:hAnsi="Calibri"/>
                <w:sz w:val="22"/>
              </w:rPr>
              <w:t>↑ Raised at Q1 2026 earnings (May 1, 2026); tenants opening sooner than forecast</w:t>
            </w:r>
          </w:p>
        </w:tc>
      </w:tr>
      <w:tr>
        <w:tc>
          <w:tcPr>
            <w:tcW w:type="dxa" w:w="1728"/>
          </w:tcPr>
          <w:p>
            <w:r>
              <w:rPr>
                <w:rFonts w:ascii="Calibri" w:hAnsi="Calibri"/>
                <w:sz w:val="22"/>
              </w:rPr>
              <w:t>FY 2026 Term Fees</w:t>
            </w:r>
          </w:p>
        </w:tc>
        <w:tc>
          <w:tcPr>
            <w:tcW w:type="dxa" w:w="1728"/>
          </w:tcPr>
          <w:p>
            <w:r>
              <w:rPr>
                <w:rFonts w:ascii="Calibri" w:hAnsi="Calibri"/>
                <w:sz w:val="22"/>
              </w:rPr>
              <w:t>$6M–$8M</w:t>
            </w:r>
          </w:p>
        </w:tc>
        <w:tc>
          <w:tcPr>
            <w:tcW w:type="dxa" w:w="1728"/>
          </w:tcPr>
          <w:p>
            <w:r>
              <w:rPr>
                <w:rFonts w:ascii="Calibri" w:hAnsi="Calibri"/>
                <w:sz w:val="22"/>
              </w:rPr>
              <w:t>$8M–$9M</w:t>
            </w:r>
          </w:p>
        </w:tc>
        <w:tc>
          <w:tcPr>
            <w:tcW w:type="dxa" w:w="1728"/>
          </w:tcPr>
          <w:p>
            <w:r>
              <w:rPr>
                <w:rFonts w:ascii="Calibri" w:hAnsi="Calibri"/>
                <w:sz w:val="22"/>
              </w:rPr>
              <w:t>N/A</w:t>
            </w:r>
          </w:p>
        </w:tc>
        <w:tc>
          <w:tcPr>
            <w:tcW w:type="dxa" w:w="1728"/>
          </w:tcPr>
          <w:p>
            <w:r>
              <w:rPr>
                <w:rFonts w:ascii="Calibri" w:hAnsi="Calibri"/>
                <w:sz w:val="22"/>
              </w:rPr>
              <w:t>↑ Raised at Q1 2026 earnings (May 1, 2026)</w:t>
            </w:r>
          </w:p>
        </w:tc>
      </w:tr>
      <w:tr>
        <w:tc>
          <w:tcPr>
            <w:tcW w:type="dxa" w:w="1728"/>
          </w:tcPr>
          <w:p>
            <w:r>
              <w:rPr>
                <w:rFonts w:ascii="Calibri" w:hAnsi="Calibri"/>
                <w:sz w:val="22"/>
              </w:rPr>
              <w:t>FY 2027–2028 Core FFO Growth (Framework)</w:t>
            </w:r>
          </w:p>
        </w:tc>
        <w:tc>
          <w:tcPr>
            <w:tcW w:type="dxa" w:w="1728"/>
          </w:tcPr>
          <w:p>
            <w:r>
              <w:rPr>
                <w:rFonts w:ascii="Calibri" w:hAnsi="Calibri"/>
                <w:sz w:val="22"/>
              </w:rPr>
              <w:t>N/A (not previously guided)</w:t>
            </w:r>
          </w:p>
        </w:tc>
        <w:tc>
          <w:tcPr>
            <w:tcW w:type="dxa" w:w="1728"/>
          </w:tcPr>
          <w:p>
            <w:r>
              <w:rPr>
                <w:rFonts w:ascii="Calibri" w:hAnsi="Calibri"/>
                <w:sz w:val="22"/>
              </w:rPr>
              <w:t>5%–7.5% per year (algorithmic framework)</w:t>
            </w:r>
          </w:p>
        </w:tc>
        <w:tc>
          <w:tcPr>
            <w:tcW w:type="dxa" w:w="1728"/>
          </w:tcPr>
          <w:p>
            <w:r>
              <w:rPr>
                <w:rFonts w:ascii="Calibri" w:hAnsi="Calibri"/>
                <w:sz w:val="22"/>
              </w:rPr>
              <w:t>FY27: $7.916; FY28: N/A</w:t>
            </w:r>
          </w:p>
        </w:tc>
        <w:tc>
          <w:tcPr>
            <w:tcW w:type="dxa" w:w="1728"/>
          </w:tcPr>
          <w:p>
            <w:r>
              <w:rPr>
                <w:rFonts w:ascii="Calibri" w:hAnsi="Calibri"/>
                <w:sz w:val="22"/>
              </w:rPr>
              <w:t>New multi-year framework issued at Investor Day (May 21, 2026); AFFO growth guided 7%–10% for 2027–2028; not formal guidance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stable since the Q1 print — Q2 2026 Core FFO consensus moved only ~$0.001 higher and FY 2026 consensus is essentially flat — suggesting the street has accepted management's cadence guidance and is not embedding incremental upside; the gap between consensus and guidance midpoint is narrow, leaving the print as a coin-flip on FFO but with more upside optionality on comparable POI.</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(July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FFO/sh — Q2 2026</w:t>
            </w:r>
          </w:p>
        </w:tc>
        <w:tc>
          <w:tcPr>
            <w:tcW w:type="dxa" w:w="1080"/>
          </w:tcPr>
          <w:p>
            <w:r>
              <w:rPr>
                <w:rFonts w:ascii="Calibri" w:hAnsi="Calibri"/>
                <w:sz w:val="22"/>
              </w:rPr>
              <w:t>$1.855</w:t>
            </w:r>
          </w:p>
        </w:tc>
        <w:tc>
          <w:tcPr>
            <w:tcW w:type="dxa" w:w="1080"/>
          </w:tcPr>
          <w:p>
            <w:r>
              <w:rPr>
                <w:rFonts w:ascii="Calibri" w:hAnsi="Calibri"/>
                <w:sz w:val="22"/>
              </w:rPr>
              <w:t>$1.856</w:t>
            </w:r>
          </w:p>
        </w:tc>
        <w:tc>
          <w:tcPr>
            <w:tcW w:type="dxa" w:w="1080"/>
          </w:tcPr>
          <w:p>
            <w:r>
              <w:rPr>
                <w:rFonts w:ascii="Calibri" w:hAnsi="Calibri"/>
                <w:sz w:val="22"/>
              </w:rPr>
              <w:t>+0.1%</w:t>
            </w:r>
          </w:p>
        </w:tc>
        <w:tc>
          <w:tcPr>
            <w:tcW w:type="dxa" w:w="1080"/>
          </w:tcPr>
          <w:p>
            <w:r>
              <w:rPr>
                <w:rFonts w:ascii="Calibri" w:hAnsi="Calibri"/>
                <w:sz w:val="22"/>
              </w:rPr>
              <w:t>$1.83–$1.86 (mid: $1.845)</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+0.6% above mid</w:t>
            </w:r>
          </w:p>
        </w:tc>
      </w:tr>
      <w:tr>
        <w:tc>
          <w:tcPr>
            <w:tcW w:type="dxa" w:w="1080"/>
          </w:tcPr>
          <w:p>
            <w:r>
              <w:rPr>
                <w:rFonts w:ascii="Calibri" w:hAnsi="Calibri"/>
                <w:sz w:val="22"/>
              </w:rPr>
              <w:t>Core FFO/sh — FY 2026</w:t>
            </w:r>
          </w:p>
        </w:tc>
        <w:tc>
          <w:tcPr>
            <w:tcW w:type="dxa" w:w="1080"/>
          </w:tcPr>
          <w:p>
            <w:r>
              <w:rPr>
                <w:rFonts w:ascii="Calibri" w:hAnsi="Calibri"/>
                <w:sz w:val="22"/>
              </w:rPr>
              <w:t>$7.525</w:t>
            </w:r>
          </w:p>
        </w:tc>
        <w:tc>
          <w:tcPr>
            <w:tcW w:type="dxa" w:w="1080"/>
          </w:tcPr>
          <w:p>
            <w:r>
              <w:rPr>
                <w:rFonts w:ascii="Calibri" w:hAnsi="Calibri"/>
                <w:sz w:val="22"/>
              </w:rPr>
              <w:t>$7.525</w:t>
            </w:r>
          </w:p>
        </w:tc>
        <w:tc>
          <w:tcPr>
            <w:tcW w:type="dxa" w:w="1080"/>
          </w:tcPr>
          <w:p>
            <w:r>
              <w:rPr>
                <w:rFonts w:ascii="Calibri" w:hAnsi="Calibri"/>
                <w:sz w:val="22"/>
              </w:rPr>
              <w:t>~0.0%</w:t>
            </w:r>
          </w:p>
        </w:tc>
        <w:tc>
          <w:tcPr>
            <w:tcW w:type="dxa" w:w="1080"/>
          </w:tcPr>
          <w:p>
            <w:r>
              <w:rPr>
                <w:rFonts w:ascii="Calibri" w:hAnsi="Calibri"/>
                <w:sz w:val="22"/>
              </w:rPr>
              <w:t>$7.46–$7.55 (mid: $7.505)</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+0.3% above mid</w:t>
            </w:r>
          </w:p>
        </w:tc>
      </w:tr>
      <w:tr>
        <w:tc>
          <w:tcPr>
            <w:tcW w:type="dxa" w:w="1080"/>
          </w:tcPr>
          <w:p>
            <w:r>
              <w:rPr>
                <w:rFonts w:ascii="Calibri" w:hAnsi="Calibri"/>
                <w:sz w:val="22"/>
              </w:rPr>
              <w:t>Core FFO/sh — FY 2027</w:t>
            </w:r>
          </w:p>
        </w:tc>
        <w:tc>
          <w:tcPr>
            <w:tcW w:type="dxa" w:w="1080"/>
          </w:tcPr>
          <w:p>
            <w:r>
              <w:rPr>
                <w:rFonts w:ascii="Calibri" w:hAnsi="Calibri"/>
                <w:sz w:val="22"/>
              </w:rPr>
              <w:t>$7.895</w:t>
            </w:r>
          </w:p>
        </w:tc>
        <w:tc>
          <w:tcPr>
            <w:tcW w:type="dxa" w:w="1080"/>
          </w:tcPr>
          <w:p>
            <w:r>
              <w:rPr>
                <w:rFonts w:ascii="Calibri" w:hAnsi="Calibri"/>
                <w:sz w:val="22"/>
              </w:rPr>
              <w:t>$7.916</w:t>
            </w:r>
          </w:p>
        </w:tc>
        <w:tc>
          <w:tcPr>
            <w:tcW w:type="dxa" w:w="1080"/>
          </w:tcPr>
          <w:p>
            <w:r>
              <w:rPr>
                <w:rFonts w:ascii="Calibri" w:hAnsi="Calibri"/>
                <w:sz w:val="22"/>
              </w:rPr>
              <w:t>+0.3%</w:t>
            </w:r>
          </w:p>
        </w:tc>
        <w:tc>
          <w:tcPr>
            <w:tcW w:type="dxa" w:w="1080"/>
          </w:tcPr>
          <w:p>
            <w:r>
              <w:rPr>
                <w:rFonts w:ascii="Calibri" w:hAnsi="Calibri"/>
                <w:sz w:val="22"/>
              </w:rPr>
              <w:t>N/A (no formal FY27 guidance)</w:t>
            </w:r>
          </w:p>
        </w:tc>
        <w:tc>
          <w:tcPr>
            <w:tcW w:type="dxa" w:w="1080"/>
          </w:tcPr>
          <w:p>
            <w:r>
              <w:rPr>
                <w:rFonts w:ascii="Calibri" w:hAnsi="Calibri"/>
                <w:sz w:val="22"/>
              </w:rPr>
              <w:t>5%–7.5% growth framework (Investor Day)</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SS NOI Growth — Q2 2026</w:t>
            </w:r>
          </w:p>
        </w:tc>
        <w:tc>
          <w:tcPr>
            <w:tcW w:type="dxa" w:w="1080"/>
          </w:tcPr>
          <w:p>
            <w:r>
              <w:rPr>
                <w:rFonts w:ascii="Calibri" w:hAnsi="Calibri"/>
                <w:sz w:val="22"/>
              </w:rPr>
              <w:t>4.54%</w:t>
            </w:r>
          </w:p>
        </w:tc>
        <w:tc>
          <w:tcPr>
            <w:tcW w:type="dxa" w:w="1080"/>
          </w:tcPr>
          <w:p>
            <w:r>
              <w:rPr>
                <w:rFonts w:ascii="Calibri" w:hAnsi="Calibri"/>
                <w:sz w:val="22"/>
              </w:rPr>
              <w:t>4.55%</w:t>
            </w:r>
          </w:p>
        </w:tc>
        <w:tc>
          <w:tcPr>
            <w:tcW w:type="dxa" w:w="1080"/>
          </w:tcPr>
          <w:p>
            <w:r>
              <w:rPr>
                <w:rFonts w:ascii="Calibri" w:hAnsi="Calibri"/>
                <w:sz w:val="22"/>
              </w:rPr>
              <w:t>+0.1%</w:t>
            </w:r>
          </w:p>
        </w:tc>
        <w:tc>
          <w:tcPr>
            <w:tcW w:type="dxa" w:w="1080"/>
          </w:tcPr>
          <w:p>
            <w:r>
              <w:rPr>
                <w:rFonts w:ascii="Calibri" w:hAnsi="Calibri"/>
                <w:sz w:val="22"/>
              </w:rPr>
              <w:t>~2% GAAP ("dip into the 2s")</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+~255 bps above guided mid</w:t>
            </w:r>
          </w:p>
        </w:tc>
      </w:tr>
      <w:tr>
        <w:tc>
          <w:tcPr>
            <w:tcW w:type="dxa" w:w="1080"/>
          </w:tcPr>
          <w:p>
            <w:r>
              <w:rPr>
                <w:rFonts w:ascii="Calibri" w:hAnsi="Calibri"/>
                <w:sz w:val="22"/>
              </w:rPr>
              <w:t>SS NOI Growth — FY 2026</w:t>
            </w:r>
          </w:p>
        </w:tc>
        <w:tc>
          <w:tcPr>
            <w:tcW w:type="dxa" w:w="1080"/>
          </w:tcPr>
          <w:p>
            <w:r>
              <w:rPr>
                <w:rFonts w:ascii="Calibri" w:hAnsi="Calibri"/>
                <w:sz w:val="22"/>
              </w:rPr>
              <w:t>3.05%</w:t>
            </w:r>
          </w:p>
        </w:tc>
        <w:tc>
          <w:tcPr>
            <w:tcW w:type="dxa" w:w="1080"/>
          </w:tcPr>
          <w:p>
            <w:r>
              <w:rPr>
                <w:rFonts w:ascii="Calibri" w:hAnsi="Calibri"/>
                <w:sz w:val="22"/>
              </w:rPr>
              <w:t>3.05%</w:t>
            </w:r>
          </w:p>
        </w:tc>
        <w:tc>
          <w:tcPr>
            <w:tcW w:type="dxa" w:w="1080"/>
          </w:tcPr>
          <w:p>
            <w:r>
              <w:rPr>
                <w:rFonts w:ascii="Calibri" w:hAnsi="Calibri"/>
                <w:sz w:val="22"/>
              </w:rPr>
              <w:t>~0.0%</w:t>
            </w:r>
          </w:p>
        </w:tc>
        <w:tc>
          <w:tcPr>
            <w:tcW w:type="dxa" w:w="1080"/>
          </w:tcPr>
          <w:p>
            <w:r>
              <w:rPr>
                <w:rFonts w:ascii="Calibri" w:hAnsi="Calibri"/>
                <w:sz w:val="22"/>
              </w:rPr>
              <w:t>3.125%–3.625% (mid: 3.375%)</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-32 bps below mid</w:t>
            </w:r>
          </w:p>
        </w:tc>
      </w:tr>
      <w:tr>
        <w:tc>
          <w:tcPr>
            <w:tcW w:type="dxa" w:w="1080"/>
          </w:tcPr>
          <w:p>
            <w:r>
              <w:rPr>
                <w:rFonts w:ascii="Calibri" w:hAnsi="Calibri"/>
                <w:sz w:val="22"/>
              </w:rPr>
              <w:t>Total Revenue — Q2 2026</w:t>
            </w:r>
          </w:p>
        </w:tc>
        <w:tc>
          <w:tcPr>
            <w:tcW w:type="dxa" w:w="1080"/>
          </w:tcPr>
          <w:p>
            <w:r>
              <w:rPr>
                <w:rFonts w:ascii="Calibri" w:hAnsi="Calibri"/>
                <w:sz w:val="22"/>
              </w:rPr>
              <w:t>$332.2M</w:t>
            </w:r>
          </w:p>
        </w:tc>
        <w:tc>
          <w:tcPr>
            <w:tcW w:type="dxa" w:w="1080"/>
          </w:tcPr>
          <w:p>
            <w:r>
              <w:rPr>
                <w:rFonts w:ascii="Calibri" w:hAnsi="Calibri"/>
                <w:sz w:val="22"/>
              </w:rPr>
              <w:t>$332.3M</w:t>
            </w:r>
          </w:p>
        </w:tc>
        <w:tc>
          <w:tcPr>
            <w:tcW w:type="dxa" w:w="1080"/>
          </w:tcPr>
          <w:p>
            <w:r>
              <w:rPr>
                <w:rFonts w:ascii="Calibri" w:hAnsi="Calibri"/>
                <w:sz w:val="22"/>
              </w:rPr>
              <w:t>+0.0%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$1,350.8M</w:t>
            </w:r>
          </w:p>
        </w:tc>
        <w:tc>
          <w:tcPr>
            <w:tcW w:type="dxa" w:w="1080"/>
          </w:tcPr>
          <w:p>
            <w:r>
              <w:rPr>
                <w:rFonts w:ascii="Calibri" w:hAnsi="Calibri"/>
                <w:sz w:val="22"/>
              </w:rPr>
              <w:t>$1,354.9M</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The most notable feature of this table is the near-zero estimate movement since the Q1 print — the street has essentially locked in management's guided cadence with no incremental upside embedded, which means any operational outperformance (particularly on comparable POI) would be a genuine positive surprise rather than a consensus catch-up.</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FRT has outperformed both XLRE (+7.6% vs. +2.2%) and the S&amp;P 500 (+2.9%) since the Q1 2026 earnings print on May 1, driven primarily by multiple re-rating on the Investor Day long-term growth framework rather than near-term estimate revisions, which have been flat; the stock's outperformance suggests the market is pricing in the multi-year growth story, raising the bar for the Q2 print to sustain momentum.</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FRT vs. XLRE (Real Estate ETF) vs. S&amp;P 500 (SPY) — Indexed to 100 at May 1, 2026 (Q1 2026 Earnings). Sector ETF: XLRE (Real Estate Select Sector SPDR Fund), appropriate for FRT's retail REIT sub-sector. Source: Yahoo Finance.</w:t>
      </w:r>
    </w:p>
    <w:p>
      <w:r>
        <w:rPr>
          <w:rFonts w:ascii="Calibri" w:hAnsi="Calibri"/>
          <w:color w:val="525866"/>
          <w:sz w:val="22"/>
        </w:rPr>
        <w:t>FRT gained +7.6% since the Q1 2026 earnings date (May 1, 2026) through July 30, 2026, versus +2.2% for XLRE and +2.9% for SPY. The outperformance was concentrated in two phases: (1) an initial rally in mid-May through late May following the May 21 Investor Day, where management laid out a 5–7.5% FFO growth framework for 2027–2028 and AFFO growth of 7–10%, and (2) a second leg higher in mid-July. The stock has given back some gains in late July, trading at $124.09 as of July 30 vs. a recent high of $127.13 on July 27. The outperformance is primarily multiple-driven rather than estimate-driven, as consensus revisions have been essentially flat since the Q1 print — suggesting the market is pricing in the long-term growth narrative from Investor Day rather than near-term earnings momentum.</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May 21 Investor Day, which materially re-framed the long-term growth narrative and likely drove the stock's outperformance; the credit facility recast and active acquisition pipeline are secondary positives that reduce balance sheet risk heading into the print.</w:t>
      </w:r>
    </w:p>
    <w:p>
      <w:pPr>
        <w:pStyle w:val="ListBullet"/>
        <w:ind w:left="360" w:hanging="360"/>
      </w:pPr>
      <w:r>
        <w:rPr>
          <w:rFonts w:ascii="Calibri" w:hAnsi="Calibri"/>
          <w:b/>
          <w:color w:val="525866"/>
          <w:sz w:val="22"/>
        </w:rPr>
        <w:t xml:space="preserve">May 21, 2026 — Investor Day: </w:t>
      </w:r>
      <w:r>
        <w:rPr>
          <w:rFonts w:ascii="Calibri" w:hAnsi="Calibri"/>
          <w:color w:val="525866"/>
          <w:sz w:val="22"/>
        </w:rPr>
        <w:t xml:space="preserve">FRT hosted its Investor Day, presenting a multi-year algorithmic growth framework projecting Core FFO growth of 5–7.5% for 2027 and 2028, and AFFO growth of 7–10% in each of those years. Management cited four structural tailwinds: (1) post-pandemic drags fully resolved (Santana West, Pike &amp; Rose office now 100% leased), (2) demand exceeding supply with no new retail construction penciling, (3) capital recycling at a 200 bps spread between acquisition yields and disposition cap rates, and (4) AI-driven operational efficiencies and residential development pipeline. CEO Don Wood described the current period as "several years of outsized growth." </w:t>
      </w:r>
    </w:p>
    <w:p>
      <w:pPr>
        <w:pStyle w:val="ListBullet"/>
        <w:ind w:left="360" w:hanging="360"/>
      </w:pPr>
      <w:r>
        <w:rPr>
          <w:rFonts w:ascii="Calibri" w:hAnsi="Calibri"/>
          <w:i/>
          <w:color w:val="525866"/>
          <w:sz w:val="22"/>
        </w:rPr>
        <w:t xml:space="preserve">Implication: </w:t>
      </w:r>
      <w:r>
        <w:rPr>
          <w:rFonts w:ascii="Calibri" w:hAnsi="Calibri"/>
          <w:color w:val="525866"/>
          <w:sz w:val="22"/>
        </w:rPr>
        <w:t>Investor Day likely drove the stock's mid-May to late-May rally and re-rated the multiple; sets a high bar for Q2 to sustain momentum.</w:t>
      </w:r>
    </w:p>
    <w:p>
      <w:pPr>
        <w:pStyle w:val="ListBullet"/>
        <w:ind w:left="360" w:hanging="360"/>
      </w:pPr>
      <w:r>
        <w:rPr>
          <w:rFonts w:ascii="Calibri" w:hAnsi="Calibri"/>
          <w:b/>
          <w:color w:val="525866"/>
          <w:sz w:val="22"/>
        </w:rPr>
        <w:t xml:space="preserve">Post-Q1 2026 — Credit Facility Recast: </w:t>
      </w:r>
      <w:r>
        <w:rPr>
          <w:rFonts w:ascii="Calibri" w:hAnsi="Calibri"/>
          <w:color w:val="525866"/>
          <w:sz w:val="22"/>
        </w:rPr>
        <w:t xml:space="preserve">Subsequent to Q1 close, FRT upsized its revolving credit facility to $1.4 billion, extended the initial term to April 2030 (with options to 2031), and reduced the spread over SOFR by 5 bps to 72.5 bps. Only $50 million of loan maturities remain through year-end 2026. </w:t>
      </w:r>
    </w:p>
    <w:p>
      <w:pPr>
        <w:pStyle w:val="ListBullet"/>
        <w:ind w:left="360" w:hanging="360"/>
      </w:pPr>
      <w:r>
        <w:rPr>
          <w:rFonts w:ascii="Calibri" w:hAnsi="Calibri"/>
          <w:i/>
          <w:color w:val="525866"/>
          <w:sz w:val="22"/>
        </w:rPr>
        <w:t xml:space="preserve">Implication: </w:t>
      </w:r>
      <w:r>
        <w:rPr>
          <w:rFonts w:ascii="Calibri" w:hAnsi="Calibri"/>
          <w:color w:val="525866"/>
          <w:sz w:val="22"/>
        </w:rPr>
        <w:t>Reduces refinancing risk and interest expense headwind; balance sheet flexibility supports the active acquisition pipeline.</w:t>
      </w:r>
    </w:p>
    <w:p>
      <w:pPr>
        <w:pStyle w:val="ListBullet"/>
        <w:ind w:left="360" w:hanging="360"/>
      </w:pPr>
      <w:r>
        <w:rPr>
          <w:rFonts w:ascii="Calibri" w:hAnsi="Calibri"/>
          <w:b/>
          <w:color w:val="525866"/>
          <w:sz w:val="22"/>
        </w:rPr>
        <w:t xml:space="preserve">May 1, 2026 — Q1 2026 Earnings Beat &amp; Guidance Raise: </w:t>
      </w:r>
      <w:r>
        <w:rPr>
          <w:rFonts w:ascii="Calibri" w:hAnsi="Calibri"/>
          <w:color w:val="525866"/>
          <w:sz w:val="22"/>
        </w:rPr>
        <w:t xml:space="preserve">FRT reported Q1 Core FFO of $1.88, beating consensus by ~$0.06 (3.3%). Full-year Core FFO guidance raised to $7.46–$7.55 (mid: $7.505) from $7.43–$7.52. Comparable POI growth guidance raised to 3.125%–3.625%. Record Q1 leasing volume (649K sq ft, highest Q1 ever). Santana West office reached 100% occupancy, completing the office lease-up across all mixed-use assets. </w:t>
      </w:r>
    </w:p>
    <w:p>
      <w:pPr>
        <w:pStyle w:val="ListBullet"/>
        <w:ind w:left="360" w:hanging="360"/>
      </w:pPr>
      <w:r>
        <w:rPr>
          <w:rFonts w:ascii="Calibri" w:hAnsi="Calibri"/>
          <w:i/>
          <w:color w:val="525866"/>
          <w:sz w:val="22"/>
        </w:rPr>
        <w:t xml:space="preserve">Implication: </w:t>
      </w:r>
      <w:r>
        <w:rPr>
          <w:rFonts w:ascii="Calibri" w:hAnsi="Calibri"/>
          <w:color w:val="525866"/>
          <w:sz w:val="22"/>
        </w:rPr>
        <w:t>Establishes the baseline for Q2; the pull-forward of ~$0.02 of timing items into Q1 is the primary headwind for Q2 FFO.</w:t>
      </w:r>
    </w:p>
    <w:p>
      <w:pPr>
        <w:pStyle w:val="ListBullet"/>
        <w:ind w:left="360" w:hanging="360"/>
      </w:pPr>
      <w:r>
        <w:rPr>
          <w:rFonts w:ascii="Calibri" w:hAnsi="Calibri"/>
          <w:b/>
          <w:color w:val="525866"/>
          <w:sz w:val="22"/>
        </w:rPr>
        <w:t xml:space="preserve">Q2 2026 — Acquisition Activity: </w:t>
      </w:r>
      <w:r>
        <w:rPr>
          <w:rFonts w:ascii="Calibri" w:hAnsi="Calibri"/>
          <w:color w:val="525866"/>
          <w:sz w:val="22"/>
        </w:rPr>
        <w:t xml:space="preserve">FRT closed on Congressional North Shopping Center ($72M, 7% stabilized yield) adjacent to Congressional Plaza in Rockville. Management described the acquisition pipeline as "the busiest in a long time" with $1.4 billion in active pipeline (30% off-market), 54% in new markets (Kansas City, Omaha). Additional $66M of asset sales in process targeting mid-to-upper 5% cap rates. </w:t>
      </w:r>
    </w:p>
    <w:p>
      <w:pPr>
        <w:pStyle w:val="ListBullet"/>
        <w:ind w:left="360" w:hanging="360"/>
      </w:pPr>
      <w:r>
        <w:rPr>
          <w:rFonts w:ascii="Calibri" w:hAnsi="Calibri"/>
          <w:i/>
          <w:color w:val="525866"/>
          <w:sz w:val="22"/>
        </w:rPr>
        <w:t xml:space="preserve">Implication: </w:t>
      </w:r>
      <w:r>
        <w:rPr>
          <w:rFonts w:ascii="Calibri" w:hAnsi="Calibri"/>
          <w:color w:val="525866"/>
          <w:sz w:val="22"/>
        </w:rPr>
        <w:t>Acquisition activity is accretive and supports the multi-year growth framework; disposition proceeds fund further acquisitions at a favorable spread.</w:t>
      </w:r>
    </w:p>
    <w:p>
      <w:pPr>
        <w:pStyle w:val="ListBullet"/>
        <w:ind w:left="360" w:hanging="360"/>
      </w:pPr>
      <w:r>
        <w:rPr>
          <w:rFonts w:ascii="Calibri" w:hAnsi="Calibri"/>
          <w:b/>
          <w:color w:val="525866"/>
          <w:sz w:val="22"/>
        </w:rPr>
        <w:t xml:space="preserve">June 11, 2026 — Q2 2026 Earnings Date Announcement: </w:t>
      </w:r>
      <w:r>
        <w:rPr>
          <w:rFonts w:ascii="Calibri" w:hAnsi="Calibri"/>
          <w:color w:val="525866"/>
          <w:sz w:val="22"/>
        </w:rPr>
        <w:t xml:space="preserve">FRT announced Q2 2026 earnings release date and conference call information, confirming the upcoming print. No pre-announcement or guidance update was included. </w:t>
      </w:r>
    </w:p>
    <w:p>
      <w:pPr>
        <w:pStyle w:val="ListBullet"/>
        <w:ind w:left="360" w:hanging="360"/>
      </w:pPr>
      <w:r>
        <w:rPr>
          <w:rFonts w:ascii="Calibri" w:hAnsi="Calibri"/>
          <w:i/>
          <w:color w:val="525866"/>
          <w:sz w:val="22"/>
        </w:rPr>
        <w:t xml:space="preserve">Implication: </w:t>
      </w:r>
      <w:r>
        <w:rPr>
          <w:rFonts w:ascii="Calibri" w:hAnsi="Calibri"/>
          <w:color w:val="525866"/>
          <w:sz w:val="22"/>
        </w:rPr>
        <w:t>Absence of a pre-announcement is a mild positive — no negative surprise was flagged ahead of the print.</w:t>
      </w:r>
    </w:p>
    <w:p>
      <w:pPr>
        <w:pStyle w:val="ListBullet"/>
        <w:ind w:left="360" w:hanging="360"/>
      </w:pPr>
      <w:r>
        <w:rPr>
          <w:rFonts w:ascii="Calibri" w:hAnsi="Calibri"/>
          <w:b/>
          <w:color w:val="525866"/>
          <w:sz w:val="22"/>
        </w:rPr>
        <w:t xml:space="preserve">May 6, 2026 — Annual Meeting: </w:t>
      </w:r>
      <w:r>
        <w:rPr>
          <w:rFonts w:ascii="Calibri" w:hAnsi="Calibri"/>
          <w:color w:val="525866"/>
          <w:sz w:val="22"/>
        </w:rPr>
        <w:t xml:space="preserve">FRT shareholders elected all trustees, approved executive pay, and ratified the auditor at the annual meeting. No governance surprises. </w:t>
      </w:r>
    </w:p>
    <w:p>
      <w:pPr>
        <w:pStyle w:val="ListBullet"/>
        <w:ind w:left="360" w:hanging="360"/>
      </w:pPr>
      <w:r>
        <w:rPr>
          <w:rFonts w:ascii="Calibri" w:hAnsi="Calibri"/>
          <w:i/>
          <w:color w:val="525866"/>
          <w:sz w:val="22"/>
        </w:rPr>
        <w:t xml:space="preserve">Implication: </w:t>
      </w:r>
      <w:r>
        <w:rPr>
          <w:rFonts w:ascii="Calibri" w:hAnsi="Calibri"/>
          <w:color w:val="525866"/>
          <w:sz w:val="22"/>
        </w:rPr>
        <w:t>Routine; no governance overhang heading into the print.</w:t>
      </w:r>
    </w:p>
    <w:p>
      <w:pPr>
        <w:pStyle w:val="ListBullet"/>
        <w:ind w:left="360" w:hanging="360"/>
      </w:pPr>
      <w:r>
        <w:rPr>
          <w:rFonts w:ascii="Calibri" w:hAnsi="Calibri"/>
          <w:b/>
          <w:color w:val="525866"/>
          <w:sz w:val="22"/>
        </w:rPr>
        <w:t xml:space="preserve">Macro — Retail REIT Sector Tailwinds: </w:t>
      </w:r>
      <w:r>
        <w:rPr>
          <w:rFonts w:ascii="Calibri" w:hAnsi="Calibri"/>
          <w:color w:val="525866"/>
          <w:sz w:val="22"/>
        </w:rPr>
        <w:t xml:space="preserve">Peers BRX (Q2 2026) and REG (Q2 2026) both reported strong quarters with raised guidance, record leasing metrics, and robust tenant health commentary (see Peer Commentaries section). Private capital inflows into open-air retail are compressing cap rates, validating FRT's asset values. Limited new supply remains a structural tailwind across the sector. </w:t>
      </w:r>
    </w:p>
    <w:p>
      <w:pPr>
        <w:pStyle w:val="ListBullet"/>
        <w:ind w:left="360" w:hanging="360"/>
      </w:pPr>
      <w:r>
        <w:rPr>
          <w:rFonts w:ascii="Calibri" w:hAnsi="Calibri"/>
          <w:i/>
          <w:color w:val="525866"/>
          <w:sz w:val="22"/>
        </w:rPr>
        <w:t xml:space="preserve">Implication: </w:t>
      </w:r>
      <w:r>
        <w:rPr>
          <w:rFonts w:ascii="Calibri" w:hAnsi="Calibri"/>
          <w:color w:val="525866"/>
          <w:sz w:val="22"/>
        </w:rPr>
        <w:t>Sector read-through is broadly positive for FRT's Q2 print.</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Q2 2026 earnings from BRX, REG, and AKR — all reporting the same calendar quarter as FRT's upcoming print — paint a uniformly strong picture for open-air retail fundamentals: record leasing, robust rent spreads, healthy tenants, and raised guidance across the board; the read-through for FRT is broadly positive, particularly on leasing demand, occupancy trajectory, and the SNO pipeline conversion theme.</w:t>
      </w:r>
    </w:p>
    <w:p>
      <w:r>
        <w:rPr>
          <w:rFonts w:ascii="Calibri" w:hAnsi="Calibri"/>
          <w:b/>
          <w:color w:val="525866"/>
          <w:sz w:val="22"/>
        </w:rPr>
        <w:t xml:space="preserve">Note: </w:t>
      </w:r>
      <w:r>
        <w:rPr>
          <w:rFonts w:ascii="Calibri" w:hAnsi="Calibri"/>
          <w:color w:val="525866"/>
          <w:sz w:val="22"/>
        </w:rPr>
        <w:t>All peer commentary below is from Q2 2026 earnings calls (BRX: July 28, 2026; REG: July 30, 2026; AKR: July 29, 2026) — the same reporting quarter as FRT's upcoming print. SPG Q1 2026 commentary (May 11, 2026) is also included as a broader retail read-through from the most recent post-Q1 earnings period.</w:t>
      </w:r>
    </w:p>
    <w:p>
      <w:pPr>
        <w:pStyle w:val="Heading3"/>
      </w:pPr>
      <w:r>
        <w:rPr>
          <w:rFonts w:ascii="Calibri" w:hAnsi="Calibri"/>
          <w:b/>
          <w:color w:val="3B4259"/>
          <w:sz w:val="24"/>
        </w:rPr>
        <w:t>Brixmor Property Group (BRX) — Q2 2026 Earnings (July 28, 2026)</w:t>
      </w:r>
    </w:p>
    <w:p>
      <w:pPr>
        <w:pStyle w:val="ListBullet"/>
        <w:ind w:left="360" w:hanging="360"/>
      </w:pPr>
      <w:r>
        <w:rPr>
          <w:rFonts w:ascii="Calibri" w:hAnsi="Calibri"/>
          <w:b/>
          <w:color w:val="525866"/>
          <w:sz w:val="22"/>
        </w:rPr>
        <w:t xml:space="preserve">Same-Store NOI Growth of 5.8%: </w:t>
      </w:r>
      <w:r>
        <w:rPr>
          <w:rFonts w:ascii="Calibri" w:hAnsi="Calibri"/>
          <w:color w:val="525866"/>
          <w:sz w:val="22"/>
        </w:rPr>
        <w:t xml:space="preserve">BRX delivered 5.8% same-property NOI growth in Q2 2026, driven by a 440 bps contribution from base rent. BRX raised its full-year same-property NOI growth guidance to 5.0%–5.75%. </w:t>
      </w:r>
    </w:p>
    <w:p>
      <w:pPr>
        <w:pStyle w:val="ListBullet"/>
        <w:ind w:left="360" w:hanging="360"/>
      </w:pPr>
      <w:r>
        <w:rPr>
          <w:rFonts w:ascii="Calibri" w:hAnsi="Calibri"/>
          <w:i/>
          <w:color w:val="525866"/>
          <w:sz w:val="22"/>
        </w:rPr>
        <w:t xml:space="preserve">FRT Read-Through: </w:t>
      </w:r>
      <w:r>
        <w:rPr>
          <w:rFonts w:ascii="Calibri" w:hAnsi="Calibri"/>
          <w:color w:val="525866"/>
          <w:sz w:val="22"/>
        </w:rPr>
        <w:t>BRX's strong same-store NOI is a positive signal for the sector, but FRT's guided Q2 dip to ~2% GAAP is company-specific (refinancing drag, Blair lease-up, timing pull-forwards) rather than a sector-wide issue. BRX's outperformance vs. FRT's guided deceleration may create a relative perception gap on the print.</w:t>
      </w:r>
    </w:p>
    <w:p>
      <w:pPr>
        <w:pStyle w:val="ListBullet"/>
        <w:ind w:left="360" w:hanging="360"/>
      </w:pPr>
      <w:r>
        <w:rPr>
          <w:rFonts w:ascii="Calibri" w:hAnsi="Calibri"/>
          <w:b/>
          <w:color w:val="525866"/>
          <w:sz w:val="22"/>
        </w:rPr>
        <w:t xml:space="preserve">Record SNO Pipeline of $71M: </w:t>
      </w:r>
      <w:r>
        <w:rPr>
          <w:rFonts w:ascii="Calibri" w:hAnsi="Calibri"/>
          <w:color w:val="525866"/>
          <w:sz w:val="22"/>
        </w:rPr>
        <w:t xml:space="preserve">BRX's signed-but-not-commenced pipeline reached a record $71M of annualized base rent, with $29M expected to commence in H2 2026 and ~$37M coming online in 2027. Small shop occupancy hit a record 92.6%. </w:t>
      </w:r>
    </w:p>
    <w:p>
      <w:pPr>
        <w:pStyle w:val="ListBullet"/>
        <w:ind w:left="360" w:hanging="360"/>
      </w:pPr>
      <w:r>
        <w:rPr>
          <w:rFonts w:ascii="Calibri" w:hAnsi="Calibri"/>
          <w:i/>
          <w:color w:val="525866"/>
          <w:sz w:val="22"/>
        </w:rPr>
        <w:t xml:space="preserve">FRT Read-Through: </w:t>
      </w:r>
      <w:r>
        <w:rPr>
          <w:rFonts w:ascii="Calibri" w:hAnsi="Calibri"/>
          <w:color w:val="525866"/>
          <w:sz w:val="22"/>
        </w:rPr>
        <w:t>Validates FRT's own SNO pipeline conversion thesis — FRT has $36M of executed-but-not-occupied rent expected to contribute over the balance of 2026 and into 2027, with the Q4 step-up driven by October 1 rent commencement dates. BRX's record SNO supports the view that the sector-wide pipeline is real and converting.</w:t>
      </w:r>
    </w:p>
    <w:p>
      <w:pPr>
        <w:pStyle w:val="ListBullet"/>
        <w:ind w:left="360" w:hanging="360"/>
      </w:pPr>
      <w:r>
        <w:rPr>
          <w:rFonts w:ascii="Calibri" w:hAnsi="Calibri"/>
          <w:b/>
          <w:color w:val="525866"/>
          <w:sz w:val="22"/>
        </w:rPr>
        <w:t xml:space="preserve">Rent Spreads Above 30% for Three Years: </w:t>
      </w:r>
      <w:r>
        <w:rPr>
          <w:rFonts w:ascii="Calibri" w:hAnsi="Calibri"/>
          <w:color w:val="525866"/>
          <w:sz w:val="22"/>
        </w:rPr>
        <w:t xml:space="preserve">BRX achieved 19% blended cash spreads (31% new, 16% renewal) and record embedded rent growth of 2.8% across new and renewal leases. New leases signed in the mid-$20s off a $19 ABR base. </w:t>
      </w:r>
    </w:p>
    <w:p>
      <w:pPr>
        <w:pStyle w:val="ListBullet"/>
        <w:ind w:left="360" w:hanging="360"/>
      </w:pPr>
      <w:r>
        <w:rPr>
          <w:rFonts w:ascii="Calibri" w:hAnsi="Calibri"/>
          <w:i/>
          <w:color w:val="525866"/>
          <w:sz w:val="22"/>
        </w:rPr>
        <w:t xml:space="preserve">FRT Read-Through: </w:t>
      </w:r>
      <w:r>
        <w:rPr>
          <w:rFonts w:ascii="Calibri" w:hAnsi="Calibri"/>
          <w:color w:val="525866"/>
          <w:sz w:val="22"/>
        </w:rPr>
        <w:t>Confirms the pricing power environment remains intact. FRT's own trailing 12-month cash rollover of 16% and Q1 cash rollover of 13% are consistent with the sector trend. No deterioration in leasing economics.</w:t>
      </w:r>
    </w:p>
    <w:p>
      <w:pPr>
        <w:pStyle w:val="ListBullet"/>
        <w:ind w:left="360" w:hanging="360"/>
      </w:pPr>
      <w:r>
        <w:rPr>
          <w:rFonts w:ascii="Calibri" w:hAnsi="Calibri"/>
          <w:b/>
          <w:color w:val="525866"/>
          <w:sz w:val="22"/>
        </w:rPr>
        <w:t xml:space="preserve">Tenant Health at Record Levels: </w:t>
      </w:r>
      <w:r>
        <w:rPr>
          <w:rFonts w:ascii="Calibri" w:hAnsi="Calibri"/>
          <w:color w:val="525866"/>
          <w:sz w:val="22"/>
        </w:rPr>
        <w:t xml:space="preserve">BRX reported small shop move-outs at record lows year-to-date, retention rates up 300 bps vs. prior year, and strong collection trends. Management described the tenant base as "the strongest the company has ever had." </w:t>
      </w:r>
    </w:p>
    <w:p>
      <w:pPr>
        <w:pStyle w:val="ListBullet"/>
        <w:ind w:left="360" w:hanging="360"/>
      </w:pPr>
      <w:r>
        <w:rPr>
          <w:rFonts w:ascii="Calibri" w:hAnsi="Calibri"/>
          <w:i/>
          <w:color w:val="525866"/>
          <w:sz w:val="22"/>
        </w:rPr>
        <w:t xml:space="preserve">FRT Read-Through: </w:t>
      </w:r>
      <w:r>
        <w:rPr>
          <w:rFonts w:ascii="Calibri" w:hAnsi="Calibri"/>
          <w:color w:val="525866"/>
          <w:sz w:val="22"/>
        </w:rPr>
        <w:t>Positive for FRT's credit reserve assumption (60–85 bps of rental income) — if BRX is seeing record-low move-outs and strong collections, FRT's credit reserve is unlikely to be a negative surprise.</w:t>
      </w:r>
    </w:p>
    <w:p>
      <w:pPr>
        <w:pStyle w:val="ListBullet"/>
        <w:ind w:left="360" w:hanging="360"/>
      </w:pPr>
      <w:r>
        <w:rPr>
          <w:rFonts w:ascii="Calibri" w:hAnsi="Calibri"/>
          <w:b/>
          <w:color w:val="525866"/>
          <w:sz w:val="22"/>
        </w:rPr>
        <w:t xml:space="preserve">Cap Rates Stable Despite Rate Volatility: </w:t>
      </w:r>
      <w:r>
        <w:rPr>
          <w:rFonts w:ascii="Calibri" w:hAnsi="Calibri"/>
          <w:color w:val="525866"/>
          <w:sz w:val="22"/>
        </w:rPr>
        <w:t xml:space="preserve">BRX noted cap rates have been "generally stable" over the last quarter despite rate volatility, with more private capital seeking exposure to open-air retail. BRX's Q2 acquisitions blended to a low-6% cap rate. </w:t>
      </w:r>
    </w:p>
    <w:p>
      <w:pPr>
        <w:pStyle w:val="ListBullet"/>
        <w:ind w:left="360" w:hanging="360"/>
      </w:pPr>
      <w:r>
        <w:rPr>
          <w:rFonts w:ascii="Calibri" w:hAnsi="Calibri"/>
          <w:i/>
          <w:color w:val="525866"/>
          <w:sz w:val="22"/>
        </w:rPr>
        <w:t xml:space="preserve">FRT Read-Through: </w:t>
      </w:r>
      <w:r>
        <w:rPr>
          <w:rFonts w:ascii="Calibri" w:hAnsi="Calibri"/>
          <w:color w:val="525866"/>
          <w:sz w:val="22"/>
        </w:rPr>
        <w:t>Validates FRT's acquisition strategy and asset values. FRT's $1.4B active pipeline at 8–9.5% unlevered IRR targets looks attractive relative to where assets are trading.</w:t>
      </w:r>
    </w:p>
    <w:p>
      <w:pPr>
        <w:pStyle w:val="Heading3"/>
      </w:pPr>
      <w:r>
        <w:rPr>
          <w:rFonts w:ascii="Calibri" w:hAnsi="Calibri"/>
          <w:b/>
          <w:color w:val="3B4259"/>
          <w:sz w:val="24"/>
        </w:rPr>
        <w:t>Regency Centers (REG) — Q2 2026 Earnings (July 30, 2026)</w:t>
      </w:r>
    </w:p>
    <w:p>
      <w:pPr>
        <w:pStyle w:val="ListBullet"/>
        <w:ind w:left="360" w:hanging="360"/>
      </w:pPr>
      <w:r>
        <w:rPr>
          <w:rFonts w:ascii="Calibri" w:hAnsi="Calibri"/>
          <w:b/>
          <w:color w:val="525866"/>
          <w:sz w:val="22"/>
        </w:rPr>
        <w:t xml:space="preserve">Same-Store NOI Growth of 3.8%, Guidance Raised: </w:t>
      </w:r>
      <w:r>
        <w:rPr>
          <w:rFonts w:ascii="Calibri" w:hAnsi="Calibri"/>
          <w:color w:val="525866"/>
          <w:sz w:val="22"/>
        </w:rPr>
        <w:t xml:space="preserve">REG delivered 3.8% same-property NOI growth in Q2 2026, primarily driven by base rent growth. REG raised its full-year same-property NOI growth guidance by 40 bps at the midpoint and now expects core operating earnings per share growth to exceed 5%. </w:t>
      </w:r>
    </w:p>
    <w:p>
      <w:pPr>
        <w:pStyle w:val="ListBullet"/>
        <w:ind w:left="360" w:hanging="360"/>
      </w:pPr>
      <w:r>
        <w:rPr>
          <w:rFonts w:ascii="Calibri" w:hAnsi="Calibri"/>
          <w:i/>
          <w:color w:val="525866"/>
          <w:sz w:val="22"/>
        </w:rPr>
        <w:t xml:space="preserve">FRT Read-Through: </w:t>
      </w:r>
      <w:r>
        <w:rPr>
          <w:rFonts w:ascii="Calibri" w:hAnsi="Calibri"/>
          <w:color w:val="525866"/>
          <w:sz w:val="22"/>
        </w:rPr>
        <w:t>REG's 3.8% same-store NOI is above FRT's guided Q2 dip to ~2% GAAP, but REG's portfolio mix (grocery-anchored neighborhood centers) differs from FRT's mixed-use/lifestyle focus. The raise in guidance is a positive sector signal.</w:t>
      </w:r>
    </w:p>
    <w:p>
      <w:pPr>
        <w:pStyle w:val="ListBullet"/>
        <w:ind w:left="360" w:hanging="360"/>
      </w:pPr>
      <w:r>
        <w:rPr>
          <w:rFonts w:ascii="Calibri" w:hAnsi="Calibri"/>
          <w:b/>
          <w:color w:val="525866"/>
          <w:sz w:val="22"/>
        </w:rPr>
        <w:t xml:space="preserve">Leased Rate Near 97%, 240 bps Spread to Commenced Occupancy: </w:t>
      </w:r>
      <w:r>
        <w:rPr>
          <w:rFonts w:ascii="Calibri" w:hAnsi="Calibri"/>
          <w:color w:val="525866"/>
          <w:sz w:val="22"/>
        </w:rPr>
        <w:t xml:space="preserve">REG's same-property lease rate reached nearly 97%, with a ~240 bps spread between leased and commenced occupancy (vs. ~180 bps historical stabilized level), providing clear visibility to future NOI growth as leases commence. </w:t>
      </w:r>
    </w:p>
    <w:p>
      <w:pPr>
        <w:pStyle w:val="ListBullet"/>
        <w:ind w:left="360" w:hanging="360"/>
      </w:pPr>
      <w:r>
        <w:rPr>
          <w:rFonts w:ascii="Calibri" w:hAnsi="Calibri"/>
          <w:i/>
          <w:color w:val="525866"/>
          <w:sz w:val="22"/>
        </w:rPr>
        <w:t xml:space="preserve">FRT Read-Through: </w:t>
      </w:r>
      <w:r>
        <w:rPr>
          <w:rFonts w:ascii="Calibri" w:hAnsi="Calibri"/>
          <w:color w:val="525866"/>
          <w:sz w:val="22"/>
        </w:rPr>
        <w:t>Directly validates FRT's own leased-vs-occupied spread thesis. FRT's 96.1% leased vs. 93.8% occupied (230 bps spread) is structurally similar — REG's experience converting this pipeline into commenced occupancy is a positive leading indicator for FRT's Q4 step-up.</w:t>
      </w:r>
    </w:p>
    <w:p>
      <w:pPr>
        <w:pStyle w:val="ListBullet"/>
        <w:ind w:left="360" w:hanging="360"/>
      </w:pPr>
      <w:r>
        <w:rPr>
          <w:rFonts w:ascii="Calibri" w:hAnsi="Calibri"/>
          <w:b/>
          <w:color w:val="525866"/>
          <w:sz w:val="22"/>
        </w:rPr>
        <w:t xml:space="preserve">Cash Rent Spreads Above 10%, GAAP Spreads ~20%: </w:t>
      </w:r>
      <w:r>
        <w:rPr>
          <w:rFonts w:ascii="Calibri" w:hAnsi="Calibri"/>
          <w:color w:val="525866"/>
          <w:sz w:val="22"/>
        </w:rPr>
        <w:t xml:space="preserve">REG maintained robust rent growth with cash spreads above 10% and GAAP spreads of nearly 20%. More than 80% of new shop leases include annual escalators of 3%+. </w:t>
      </w:r>
    </w:p>
    <w:p>
      <w:pPr>
        <w:pStyle w:val="ListBullet"/>
        <w:ind w:left="360" w:hanging="360"/>
      </w:pPr>
      <w:r>
        <w:rPr>
          <w:rFonts w:ascii="Calibri" w:hAnsi="Calibri"/>
          <w:i/>
          <w:color w:val="525866"/>
          <w:sz w:val="22"/>
        </w:rPr>
        <w:t xml:space="preserve">FRT Read-Through: </w:t>
      </w:r>
      <w:r>
        <w:rPr>
          <w:rFonts w:ascii="Calibri" w:hAnsi="Calibri"/>
          <w:color w:val="525866"/>
          <w:sz w:val="22"/>
        </w:rPr>
        <w:t>Consistent with FRT's own rent spread trajectory. The escalator penetration data (80%+ of new shop leases at 3%+) is a positive for embedded growth across the sector.</w:t>
      </w:r>
    </w:p>
    <w:p>
      <w:pPr>
        <w:pStyle w:val="ListBullet"/>
        <w:ind w:left="360" w:hanging="360"/>
      </w:pPr>
      <w:r>
        <w:rPr>
          <w:rFonts w:ascii="Calibri" w:hAnsi="Calibri"/>
          <w:b/>
          <w:color w:val="525866"/>
          <w:sz w:val="22"/>
        </w:rPr>
        <w:t xml:space="preserve">Transaction Markets "Extremely Competitive," Cap Rates Compressing: </w:t>
      </w:r>
      <w:r>
        <w:rPr>
          <w:rFonts w:ascii="Calibri" w:hAnsi="Calibri"/>
          <w:color w:val="525866"/>
          <w:sz w:val="22"/>
        </w:rPr>
        <w:t xml:space="preserve">REG described transaction markets as "extremely competitive" with cap rates continuing to compress quarter over quarter, with some deals now trading starting with a "four" (sub-5% cap rates) vs. mid-fives previously. Private capital is aggressively allocating to grocery-anchored centers. </w:t>
      </w:r>
    </w:p>
    <w:p>
      <w:pPr>
        <w:pStyle w:val="ListBullet"/>
        <w:ind w:left="360" w:hanging="360"/>
      </w:pPr>
      <w:r>
        <w:rPr>
          <w:rFonts w:ascii="Calibri" w:hAnsi="Calibri"/>
          <w:i/>
          <w:color w:val="525866"/>
          <w:sz w:val="22"/>
        </w:rPr>
        <w:t xml:space="preserve">FRT Read-Through: </w:t>
      </w:r>
      <w:r>
        <w:rPr>
          <w:rFonts w:ascii="Calibri" w:hAnsi="Calibri"/>
          <w:color w:val="525866"/>
          <w:sz w:val="22"/>
        </w:rPr>
        <w:t>Validates FRT's Investor Day NAV analysis — management's implied cap rate of 6.4% at $115/share looks increasingly conservative if comparable assets are trading at sub-5% cap rates. Positive for FRT's NAV story.</w:t>
      </w:r>
    </w:p>
    <w:p>
      <w:pPr>
        <w:pStyle w:val="ListBullet"/>
        <w:ind w:left="360" w:hanging="360"/>
      </w:pPr>
      <w:r>
        <w:rPr>
          <w:rFonts w:ascii="Calibri" w:hAnsi="Calibri"/>
          <w:b/>
          <w:color w:val="525866"/>
          <w:sz w:val="22"/>
        </w:rPr>
        <w:t xml:space="preserve">Consumer Resilience Confirmed, No Grocery Sector Concerns: </w:t>
      </w:r>
      <w:r>
        <w:rPr>
          <w:rFonts w:ascii="Calibri" w:hAnsi="Calibri"/>
          <w:color w:val="525866"/>
          <w:sz w:val="22"/>
        </w:rPr>
        <w:t xml:space="preserve">REG management stated they have not seen anything in their portfolio or grocer relationships that would cause concern about the grocery sector, despite cautious commentary from some larger tenants on lower-end consumers. Foot traffic growing, accounts receivable below historical averages. </w:t>
      </w:r>
    </w:p>
    <w:p>
      <w:pPr>
        <w:pStyle w:val="ListBullet"/>
        <w:ind w:left="360" w:hanging="360"/>
      </w:pPr>
      <w:r>
        <w:rPr>
          <w:rFonts w:ascii="Calibri" w:hAnsi="Calibri"/>
          <w:i/>
          <w:color w:val="525866"/>
          <w:sz w:val="22"/>
        </w:rPr>
        <w:t xml:space="preserve">FRT Read-Through: </w:t>
      </w:r>
      <w:r>
        <w:rPr>
          <w:rFonts w:ascii="Calibri" w:hAnsi="Calibri"/>
          <w:color w:val="525866"/>
          <w:sz w:val="22"/>
        </w:rPr>
        <w:t>Positive for FRT's affluent-consumer-focused portfolio — if even grocery-anchored centers serving a broader consumer base are seeing healthy metrics, FRT's K-shaped economy tailwind thesis is well-supported.</w:t>
      </w:r>
    </w:p>
    <w:p>
      <w:pPr>
        <w:pStyle w:val="Heading3"/>
      </w:pPr>
      <w:r>
        <w:rPr>
          <w:rFonts w:ascii="Calibri" w:hAnsi="Calibri"/>
          <w:b/>
          <w:color w:val="3B4259"/>
          <w:sz w:val="24"/>
        </w:rPr>
        <w:t>Acadia Realty Trust (AKR) — Q2 2026 Earnings (July 29, 2026)</w:t>
      </w:r>
    </w:p>
    <w:p>
      <w:pPr>
        <w:pStyle w:val="ListBullet"/>
        <w:ind w:left="360" w:hanging="360"/>
      </w:pPr>
      <w:r>
        <w:rPr>
          <w:rFonts w:ascii="Calibri" w:hAnsi="Calibri"/>
          <w:b/>
          <w:color w:val="525866"/>
          <w:sz w:val="22"/>
        </w:rPr>
        <w:t xml:space="preserve">Record Leasing Volume, 91% Rent Spreads: </w:t>
      </w:r>
      <w:r>
        <w:rPr>
          <w:rFonts w:ascii="Calibri" w:hAnsi="Calibri"/>
          <w:color w:val="525866"/>
          <w:sz w:val="22"/>
        </w:rPr>
        <w:t xml:space="preserve">AKR produced record leasing activity in Q2 2026, signing ~$8.9M in new leases (highest volume any quarter in company history) at 91% blended rent spreads (vs. single digits a year ago). Street retail vacancy in key corridors (Madison Ave, Soho, Armitage Ave, Melrose Place) at historical lows. </w:t>
      </w:r>
    </w:p>
    <w:p>
      <w:pPr>
        <w:pStyle w:val="ListBullet"/>
        <w:ind w:left="360" w:hanging="360"/>
      </w:pPr>
      <w:r>
        <w:rPr>
          <w:rFonts w:ascii="Calibri" w:hAnsi="Calibri"/>
          <w:i/>
          <w:color w:val="525866"/>
          <w:sz w:val="22"/>
        </w:rPr>
        <w:t xml:space="preserve">FRT Read-Through: </w:t>
      </w:r>
      <w:r>
        <w:rPr>
          <w:rFonts w:ascii="Calibri" w:hAnsi="Calibri"/>
          <w:color w:val="525866"/>
          <w:sz w:val="22"/>
        </w:rPr>
        <w:t>AKR's street retail focus is different from FRT's suburban/mixed-use portfolio, but the extreme rent spread data (91%) and record leasing volume confirm that the broader retail leasing environment is exceptionally strong. FRT's own 13% cash rollover in Q1 looks conservative by comparison.</w:t>
      </w:r>
    </w:p>
    <w:p>
      <w:pPr>
        <w:pStyle w:val="ListBullet"/>
        <w:ind w:left="360" w:hanging="360"/>
      </w:pPr>
      <w:r>
        <w:rPr>
          <w:rFonts w:ascii="Calibri" w:hAnsi="Calibri"/>
          <w:b/>
          <w:color w:val="525866"/>
          <w:sz w:val="22"/>
        </w:rPr>
        <w:t xml:space="preserve">11% YoY Earnings Growth, FFO Guidance Raised to ~10% Growth: </w:t>
      </w:r>
      <w:r>
        <w:rPr>
          <w:rFonts w:ascii="Calibri" w:hAnsi="Calibri"/>
          <w:color w:val="525866"/>
          <w:sz w:val="22"/>
        </w:rPr>
        <w:t xml:space="preserve">AKR delivered 11% YoY earnings growth and raised full-year FFO guidance to target approximately 10% YoY FFO growth at the midpoint. SNO pipeline reached an all-time high of $16.5M (7% of pro rata ABR), with ~half expected to commence in Q4 2026. </w:t>
      </w:r>
    </w:p>
    <w:p>
      <w:pPr>
        <w:pStyle w:val="ListBullet"/>
        <w:ind w:left="360" w:hanging="360"/>
      </w:pPr>
      <w:r>
        <w:rPr>
          <w:rFonts w:ascii="Calibri" w:hAnsi="Calibri"/>
          <w:i/>
          <w:color w:val="525866"/>
          <w:sz w:val="22"/>
        </w:rPr>
        <w:t xml:space="preserve">FRT Read-Through: </w:t>
      </w:r>
      <w:r>
        <w:rPr>
          <w:rFonts w:ascii="Calibri" w:hAnsi="Calibri"/>
          <w:color w:val="525866"/>
          <w:sz w:val="22"/>
        </w:rPr>
        <w:t>AKR's SNO pipeline heavily weighted to Q4 2026 commencements mirrors FRT's own Q4 step-up thesis driven by October 1 rent commencement dates. The pattern of back-half-weighted SNO conversion is consistent across the sector.</w:t>
      </w:r>
    </w:p>
    <w:p>
      <w:pPr>
        <w:pStyle w:val="ListBullet"/>
        <w:ind w:left="360" w:hanging="360"/>
      </w:pPr>
      <w:r>
        <w:rPr>
          <w:rFonts w:ascii="Calibri" w:hAnsi="Calibri"/>
          <w:b/>
          <w:color w:val="525866"/>
          <w:sz w:val="22"/>
        </w:rPr>
        <w:t xml:space="preserve">Consumer Resilience, DTC Demand Driver: </w:t>
      </w:r>
      <w:r>
        <w:rPr>
          <w:rFonts w:ascii="Calibri" w:hAnsi="Calibri"/>
          <w:color w:val="525866"/>
          <w:sz w:val="22"/>
        </w:rPr>
        <w:t xml:space="preserve">AKR highlighted the long-term migration of brands from wholesale/department stores to direct-to-consumer (DTC) stores as a multi-year demand driver "still in early stages." Tenant sales growth averaging 25%+ YoY for key tenants, with occupancy cost ratios below 9.5%. </w:t>
      </w:r>
    </w:p>
    <w:p>
      <w:pPr>
        <w:pStyle w:val="ListBullet"/>
        <w:ind w:left="360" w:hanging="360"/>
      </w:pPr>
      <w:r>
        <w:rPr>
          <w:rFonts w:ascii="Calibri" w:hAnsi="Calibri"/>
          <w:i/>
          <w:color w:val="525866"/>
          <w:sz w:val="22"/>
        </w:rPr>
        <w:t xml:space="preserve">FRT Read-Through: </w:t>
      </w:r>
      <w:r>
        <w:rPr>
          <w:rFonts w:ascii="Calibri" w:hAnsi="Calibri"/>
          <w:color w:val="525866"/>
          <w:sz w:val="22"/>
        </w:rPr>
        <w:t>The DTC migration theme is relevant for FRT's mixed-use properties in affluent markets. AKR's data on tenant health (25%+ sales growth, sub-9.5% occupancy cost ratios) is consistent with FRT's own commentary on full-price and aspirational retailers outperforming in its centers.</w:t>
      </w:r>
    </w:p>
    <w:p>
      <w:pPr>
        <w:pStyle w:val="ListBullet"/>
        <w:ind w:left="360" w:hanging="360"/>
      </w:pPr>
      <w:r>
        <w:rPr>
          <w:rFonts w:ascii="Calibri" w:hAnsi="Calibri"/>
          <w:b/>
          <w:color w:val="525866"/>
          <w:sz w:val="22"/>
        </w:rPr>
        <w:t xml:space="preserve">High-Growth Streets ~25% Below Market: </w:t>
      </w:r>
      <w:r>
        <w:rPr>
          <w:rFonts w:ascii="Calibri" w:hAnsi="Calibri"/>
          <w:color w:val="525866"/>
          <w:sz w:val="22"/>
        </w:rPr>
        <w:t xml:space="preserve">AKR estimates its core streets are still ~25% below market, representing $20–25M of potential upside. Soho/Manhattan estimated 35% below market, Henderson Ave (Dallas) 60% below market. </w:t>
      </w:r>
    </w:p>
    <w:p>
      <w:pPr>
        <w:pStyle w:val="ListBullet"/>
        <w:ind w:left="360" w:hanging="360"/>
      </w:pPr>
      <w:r>
        <w:rPr>
          <w:rFonts w:ascii="Calibri" w:hAnsi="Calibri"/>
          <w:i/>
          <w:color w:val="525866"/>
          <w:sz w:val="22"/>
        </w:rPr>
        <w:t xml:space="preserve">FRT Read-Through: </w:t>
      </w:r>
      <w:r>
        <w:rPr>
          <w:rFonts w:ascii="Calibri" w:hAnsi="Calibri"/>
          <w:color w:val="525866"/>
          <w:sz w:val="22"/>
        </w:rPr>
        <w:t>While AKR's street retail is a different format, the below-market rent thesis is analogous to FRT's own signed-not-occupied pipeline and rollover opportunity. The sector-wide below-market rent story supports FRT's multi-year rent growth outlook.</w:t>
      </w:r>
    </w:p>
    <w:p>
      <w:pPr>
        <w:pStyle w:val="Heading3"/>
      </w:pPr>
      <w:r>
        <w:rPr>
          <w:rFonts w:ascii="Calibri" w:hAnsi="Calibri"/>
          <w:b/>
          <w:color w:val="3B4259"/>
          <w:sz w:val="24"/>
        </w:rPr>
        <w:t>Simon Property Group (SPG) — Q1 2026 Earnings (May 11, 2026) — Post-Q1 Read-Through</w:t>
      </w:r>
    </w:p>
    <w:p>
      <w:pPr>
        <w:pStyle w:val="ListBullet"/>
        <w:ind w:left="360" w:hanging="360"/>
      </w:pPr>
      <w:r>
        <w:rPr>
          <w:rFonts w:ascii="Calibri" w:hAnsi="Calibri"/>
          <w:b/>
          <w:color w:val="525866"/>
          <w:sz w:val="22"/>
        </w:rPr>
        <w:t xml:space="preserve">Domestic NOI Growth of 6.7%, Guidance Raised: </w:t>
      </w:r>
      <w:r>
        <w:rPr>
          <w:rFonts w:ascii="Calibri" w:hAnsi="Calibri"/>
          <w:color w:val="525866"/>
          <w:sz w:val="22"/>
        </w:rPr>
        <w:t xml:space="preserve">SPG reported 6.7% domestic property NOI growth in Q1 2026 and raised full-year real estate FFO guidance to $13.10–$13.25/sh (5% growth at midpoint). Comparable sales growth of 6.5% for the quarter. </w:t>
      </w:r>
    </w:p>
    <w:p>
      <w:pPr>
        <w:pStyle w:val="ListBullet"/>
        <w:ind w:left="360" w:hanging="360"/>
      </w:pPr>
      <w:r>
        <w:rPr>
          <w:rFonts w:ascii="Calibri" w:hAnsi="Calibri"/>
          <w:i/>
          <w:color w:val="525866"/>
          <w:sz w:val="22"/>
        </w:rPr>
        <w:t xml:space="preserve">FRT Read-Through: </w:t>
      </w:r>
      <w:r>
        <w:rPr>
          <w:rFonts w:ascii="Calibri" w:hAnsi="Calibri"/>
          <w:color w:val="525866"/>
          <w:sz w:val="22"/>
        </w:rPr>
        <w:t>SPG's strong Q1 results (reported May 11, after FRT's Q1 print) confirmed the broader retail real estate environment was healthy entering Q2. The 6.5% comp sales growth and broad-based leasing demand are positive leading indicators for FRT's Q2 tenant health.</w:t>
      </w:r>
    </w:p>
    <w:p>
      <w:pPr>
        <w:pStyle w:val="ListBullet"/>
        <w:ind w:left="360" w:hanging="360"/>
      </w:pPr>
      <w:r>
        <w:rPr>
          <w:rFonts w:ascii="Calibri" w:hAnsi="Calibri"/>
          <w:b/>
          <w:color w:val="525866"/>
          <w:sz w:val="22"/>
        </w:rPr>
        <w:t xml:space="preserve">Upper-End Consumer Outperforming, Gen Z Driving Traffic: </w:t>
      </w:r>
      <w:r>
        <w:rPr>
          <w:rFonts w:ascii="Calibri" w:hAnsi="Calibri"/>
          <w:color w:val="525866"/>
          <w:sz w:val="22"/>
        </w:rPr>
        <w:t xml:space="preserve">SPG highlighted the upper-end consumer as "doing very well" with strong luxury, hard luxury, jewelry, and watches performance. Gen Z driving strong juniors business. Only soft spot: food &amp; beverage (flat comps) and tourist markets relying on European/Canadian travelers (Woodbury comp at 2.5% vs. 6.6% overall). </w:t>
      </w:r>
    </w:p>
    <w:p>
      <w:pPr>
        <w:pStyle w:val="ListBullet"/>
        <w:ind w:left="360" w:hanging="360"/>
      </w:pPr>
      <w:r>
        <w:rPr>
          <w:rFonts w:ascii="Calibri" w:hAnsi="Calibri"/>
          <w:i/>
          <w:color w:val="525866"/>
          <w:sz w:val="22"/>
        </w:rPr>
        <w:t xml:space="preserve">FRT Read-Through: </w:t>
      </w:r>
      <w:r>
        <w:rPr>
          <w:rFonts w:ascii="Calibri" w:hAnsi="Calibri"/>
          <w:color w:val="525866"/>
          <w:sz w:val="22"/>
        </w:rPr>
        <w:t>Directly validates FRT's K-shaped economy tailwind thesis — FRT's affluent trade areas and high purchasing power per center are positioned to benefit from the same upper-end consumer strength SPG is seeing. The tourist market softness is not relevant to FRT's suburban coastal portfolio.</w:t>
      </w:r>
    </w:p>
    <w:p>
      <w:pPr>
        <w:pStyle w:val="ListBullet"/>
        <w:ind w:left="360" w:hanging="360"/>
      </w:pPr>
      <w:r>
        <w:rPr>
          <w:rFonts w:ascii="Calibri" w:hAnsi="Calibri"/>
          <w:b/>
          <w:color w:val="525866"/>
          <w:sz w:val="22"/>
        </w:rPr>
        <w:t xml:space="preserve">New Leases 20–25% Above Prior Year, Retailers Discussing 2027–2029 Expirations: </w:t>
      </w:r>
      <w:r>
        <w:rPr>
          <w:rFonts w:ascii="Calibri" w:hAnsi="Calibri"/>
          <w:color w:val="525866"/>
          <w:sz w:val="22"/>
        </w:rPr>
        <w:t xml:space="preserve">SPG noted new leases being signed 20–25% above new leases from last year, with retailers now willing to discuss 2027–2029 expirations — a phenomenon historically limited to luxury tenants. Average base minimum rent for Malls/Premium Outlets up 5.2% YoY. </w:t>
      </w:r>
    </w:p>
    <w:p>
      <w:pPr>
        <w:pStyle w:val="ListBullet"/>
        <w:ind w:left="360" w:hanging="360"/>
      </w:pPr>
      <w:r>
        <w:rPr>
          <w:rFonts w:ascii="Calibri" w:hAnsi="Calibri"/>
          <w:i/>
          <w:color w:val="525866"/>
          <w:sz w:val="22"/>
        </w:rPr>
        <w:t xml:space="preserve">FRT Read-Through: </w:t>
      </w:r>
      <w:r>
        <w:rPr>
          <w:rFonts w:ascii="Calibri" w:hAnsi="Calibri"/>
          <w:color w:val="525866"/>
          <w:sz w:val="22"/>
        </w:rPr>
        <w:t>The forward-looking leasing engagement (retailers discussing 2027–2029 expirations) is a strong signal of tenant confidence in the retail real estate market. Positive for FRT's multi-year rent rollover and leasing pipeline visibility.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transactions since the Q1 2026 earnings print are two gift transfers (Form 4 code "G") by CEO Donald Wood and Director Thomas McEachin on June 3, 2026 — these are non-market transactions with no informational signal; there are no open-market buys or sells to flag, which is neither bullish nor bearish.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Donald C. Wood</w:t>
            </w:r>
          </w:p>
        </w:tc>
        <w:tc>
          <w:tcPr>
            <w:tcW w:type="dxa" w:w="1440"/>
          </w:tcPr>
          <w:p>
            <w:r>
              <w:rPr>
                <w:rFonts w:ascii="Calibri" w:hAnsi="Calibri"/>
                <w:sz w:val="22"/>
              </w:rPr>
              <w:t>CEO &amp; President, Director</w:t>
            </w:r>
          </w:p>
        </w:tc>
        <w:tc>
          <w:tcPr>
            <w:tcW w:type="dxa" w:w="1440"/>
          </w:tcPr>
          <w:p>
            <w:r>
              <w:rPr>
                <w:rFonts w:ascii="Calibri" w:hAnsi="Calibri"/>
                <w:sz w:val="22"/>
              </w:rPr>
              <w:t>Gift Transfer (Form 4 Code G)</w:t>
            </w:r>
          </w:p>
        </w:tc>
        <w:tc>
          <w:tcPr>
            <w:tcW w:type="dxa" w:w="1440"/>
          </w:tcPr>
          <w:p>
            <w:r>
              <w:rPr>
                <w:rFonts w:ascii="Calibri" w:hAnsi="Calibri"/>
                <w:sz w:val="22"/>
              </w:rPr>
              <w:t>37,038 shares</w:t>
            </w:r>
          </w:p>
        </w:tc>
        <w:tc>
          <w:tcPr>
            <w:tcW w:type="dxa" w:w="1440"/>
          </w:tcPr>
          <w:p>
            <w:r>
              <w:rPr>
                <w:rFonts w:ascii="Calibri" w:hAnsi="Calibri"/>
                <w:sz w:val="22"/>
              </w:rPr>
              <w:t>June 3, 2026</w:t>
            </w:r>
          </w:p>
        </w:tc>
        <w:tc>
          <w:tcPr>
            <w:tcW w:type="dxa" w:w="1440"/>
          </w:tcPr>
          <w:p>
            <w:r>
              <w:rPr>
                <w:rFonts w:ascii="Calibri" w:hAnsi="Calibri"/>
                <w:sz w:val="22"/>
              </w:rPr>
              <w:t>Non-market gift transfer; no economic signal. Retained 132,042 shares post-transfer.</w:t>
            </w:r>
          </w:p>
        </w:tc>
      </w:tr>
      <w:tr>
        <w:tc>
          <w:tcPr>
            <w:tcW w:type="dxa" w:w="1440"/>
          </w:tcPr>
          <w:p>
            <w:r>
              <w:rPr>
                <w:rFonts w:ascii="Calibri" w:hAnsi="Calibri"/>
                <w:sz w:val="22"/>
              </w:rPr>
              <w:t>Thomas McEachin</w:t>
            </w:r>
          </w:p>
        </w:tc>
        <w:tc>
          <w:tcPr>
            <w:tcW w:type="dxa" w:w="1440"/>
          </w:tcPr>
          <w:p>
            <w:r>
              <w:rPr>
                <w:rFonts w:ascii="Calibri" w:hAnsi="Calibri"/>
                <w:sz w:val="22"/>
              </w:rPr>
              <w:t>Director</w:t>
            </w:r>
          </w:p>
        </w:tc>
        <w:tc>
          <w:tcPr>
            <w:tcW w:type="dxa" w:w="1440"/>
          </w:tcPr>
          <w:p>
            <w:r>
              <w:rPr>
                <w:rFonts w:ascii="Calibri" w:hAnsi="Calibri"/>
                <w:sz w:val="22"/>
              </w:rPr>
              <w:t>Gift Transfer (Form 4 Code G)</w:t>
            </w:r>
          </w:p>
        </w:tc>
        <w:tc>
          <w:tcPr>
            <w:tcW w:type="dxa" w:w="1440"/>
          </w:tcPr>
          <w:p>
            <w:r>
              <w:rPr>
                <w:rFonts w:ascii="Calibri" w:hAnsi="Calibri"/>
                <w:sz w:val="22"/>
              </w:rPr>
              <w:t>1,339 shares</w:t>
            </w:r>
          </w:p>
        </w:tc>
        <w:tc>
          <w:tcPr>
            <w:tcW w:type="dxa" w:w="1440"/>
          </w:tcPr>
          <w:p>
            <w:r>
              <w:rPr>
                <w:rFonts w:ascii="Calibri" w:hAnsi="Calibri"/>
                <w:sz w:val="22"/>
              </w:rPr>
              <w:t>June 3, 2026</w:t>
            </w:r>
          </w:p>
        </w:tc>
        <w:tc>
          <w:tcPr>
            <w:tcW w:type="dxa" w:w="1440"/>
          </w:tcPr>
          <w:p>
            <w:r>
              <w:rPr>
                <w:rFonts w:ascii="Calibri" w:hAnsi="Calibri"/>
                <w:sz w:val="22"/>
              </w:rPr>
              <w:t>Non-market gift transfer; no economic signal.</w:t>
            </w:r>
          </w:p>
        </w:tc>
      </w:tr>
    </w:tbl>
    <w:p>
      <w:r>
        <w:rPr>
          <w:rFonts w:ascii="Calibri" w:hAnsi="Calibri"/>
          <w:color w:val="525866"/>
          <w:sz w:val="22"/>
        </w:rPr>
        <w:t>Source: SEC Form 4 filings. No open-market buys (code P) or open-market sells (code S) were filed by FRT insiders in the period from May 1, 2026 through July 30, 2026. The absence of insider selling ahead of the Q2 print is a mild positive — no insider appears to be reducing exposure ahead of the earnings release. The gift transfers carry no informational content about management's view of the stock.</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