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Federal Realty Investment Trust (FRT)</w:t>
      </w:r>
    </w:p>
    <w:p>
      <w:pPr>
        <w:pStyle w:val="Heading2"/>
      </w:pPr>
      <w:r>
        <w:rPr>
          <w:rFonts w:ascii="Calibri" w:hAnsi="Calibri"/>
          <w:b/>
          <w:color w:val="3B4259"/>
          <w:sz w:val="28"/>
        </w:rPr>
        <w:t>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Ticker</w:t>
            </w:r>
          </w:p>
        </w:tc>
        <w:tc>
          <w:tcPr>
            <w:tcW w:type="dxa" w:w="2160"/>
          </w:tcPr>
          <w:p>
            <w:r>
              <w:rPr>
                <w:rFonts w:ascii="Calibri" w:hAnsi="Calibri"/>
                <w:sz w:val="22"/>
              </w:rPr>
              <w:t>FRT</w:t>
            </w:r>
          </w:p>
        </w:tc>
        <w:tc>
          <w:tcPr>
            <w:tcW w:type="dxa" w:w="2160"/>
          </w:tcPr>
          <w:p>
            <w:r>
              <w:rPr>
                <w:rFonts w:ascii="Calibri" w:hAnsi="Calibri"/>
                <w:b/>
                <w:sz w:val="22"/>
              </w:rPr>
              <w:t>Earnings Date</w:t>
            </w:r>
          </w:p>
        </w:tc>
        <w:tc>
          <w:tcPr>
            <w:tcW w:type="dxa" w:w="2160"/>
          </w:tcPr>
          <w:p>
            <w:r>
              <w:rPr>
                <w:rFonts w:ascii="Calibri" w:hAnsi="Calibri"/>
                <w:sz w:val="22"/>
              </w:rPr>
              <w:t>July 31, 2026 (Pre-Market)</w:t>
            </w:r>
          </w:p>
        </w:tc>
      </w:tr>
      <w:tr>
        <w:tc>
          <w:tcPr>
            <w:tcW w:type="dxa" w:w="2160"/>
          </w:tcPr>
          <w:p>
            <w:r>
              <w:rPr>
                <w:rFonts w:ascii="Calibri" w:hAnsi="Calibri"/>
                <w:b/>
                <w:sz w:val="22"/>
              </w:rPr>
              <w:t>Sector</w:t>
            </w:r>
          </w:p>
        </w:tc>
        <w:tc>
          <w:tcPr>
            <w:tcW w:type="dxa" w:w="2160"/>
          </w:tcPr>
          <w:p>
            <w:r>
              <w:rPr>
                <w:rFonts w:ascii="Calibri" w:hAnsi="Calibri"/>
                <w:sz w:val="22"/>
              </w:rPr>
              <w:t>REIT – Retail</w:t>
            </w:r>
          </w:p>
        </w:tc>
        <w:tc>
          <w:tcPr>
            <w:tcW w:type="dxa" w:w="2160"/>
          </w:tcPr>
          <w:p>
            <w:r>
              <w:rPr>
                <w:rFonts w:ascii="Calibri" w:hAnsi="Calibri"/>
                <w:b/>
                <w:sz w:val="22"/>
              </w:rPr>
              <w:t>Prepared</w:t>
            </w:r>
          </w:p>
        </w:tc>
        <w:tc>
          <w:tcPr>
            <w:tcW w:type="dxa" w:w="2160"/>
          </w:tcPr>
          <w:p>
            <w:r>
              <w:rPr>
                <w:rFonts w:ascii="Calibri" w:hAnsi="Calibri"/>
                <w:sz w:val="22"/>
              </w:rPr>
              <w:t>July 30, 2026</w:t>
            </w:r>
          </w:p>
        </w:tc>
      </w:tr>
      <w:tr>
        <w:tc>
          <w:tcPr>
            <w:tcW w:type="dxa" w:w="2160"/>
          </w:tcPr>
          <w:p>
            <w:r>
              <w:rPr>
                <w:rFonts w:ascii="Calibri" w:hAnsi="Calibri"/>
                <w:b/>
                <w:sz w:val="22"/>
              </w:rPr>
              <w:t>Reporting Period</w:t>
            </w:r>
          </w:p>
        </w:tc>
        <w:tc>
          <w:tcPr>
            <w:tcW w:type="dxa" w:w="2160"/>
          </w:tcPr>
          <w:p>
            <w:r>
              <w:rPr>
                <w:rFonts w:ascii="Calibri" w:hAnsi="Calibri"/>
                <w:sz w:val="22"/>
              </w:rPr>
              <w:t>Q2 2026 (ended June 30, 2026)</w:t>
            </w:r>
          </w:p>
        </w:tc>
        <w:tc>
          <w:tcPr>
            <w:tcW w:type="dxa" w:w="2160"/>
          </w:tcPr>
          <w:p>
            <w:r>
              <w:rPr>
                <w:rFonts w:ascii="Calibri" w:hAnsi="Calibri"/>
                <w:b/>
                <w:sz w:val="22"/>
              </w:rPr>
              <w:t>Conference Call</w:t>
            </w:r>
          </w:p>
        </w:tc>
        <w:tc>
          <w:tcPr>
            <w:tcW w:type="dxa" w:w="2160"/>
          </w:tcPr>
          <w:p>
            <w:r>
              <w:rPr>
                <w:rFonts w:ascii="Calibri" w:hAnsi="Calibri"/>
                <w:sz w:val="22"/>
              </w:rPr>
              <w:t>July 31, 2026 at 9:00 AM ET</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is a moderate beat, with consensus at $1.856 Core FFO/share sitting just above management’s $1.83–$1.86 guidance midpoint — the biggest swing factor is whether the Q1 timing pull-forward creates a tougher comp or whether operational momentum (leasing, occupancy, ancillary income) offsets the known refinancing drag and Blair lease-up headwind.</w:t>
      </w:r>
    </w:p>
    <w:p>
      <w:r>
        <w:rPr>
          <w:rFonts w:ascii="Calibri" w:hAnsi="Calibri"/>
          <w:color w:val="525866"/>
          <w:sz w:val="22"/>
        </w:rPr>
        <w:t xml:space="preserve">Heading into Q2 2026 results, the bar for FRT is calibrated but not demanding: consensus Core FFO of </w:t>
      </w:r>
      <w:r>
        <w:rPr>
          <w:rFonts w:ascii="Calibri" w:hAnsi="Calibri"/>
          <w:b/>
          <w:color w:val="525866"/>
          <w:sz w:val="22"/>
        </w:rPr>
        <w:t>$1.856/share</w:t>
      </w:r>
      <w:r>
        <w:rPr>
          <w:rFonts w:ascii="Calibri" w:hAnsi="Calibri"/>
          <w:color w:val="525866"/>
          <w:sz w:val="22"/>
        </w:rPr>
        <w:t xml:space="preserve"> sits at the top of management’s $1.83–$1.86 guidance range, implying the Street is already pricing in a clean quarter but not a blowout. Management explicitly flagged two known headwinds — a </w:t>
      </w:r>
      <w:r>
        <w:rPr>
          <w:rFonts w:ascii="Calibri" w:hAnsi="Calibri"/>
          <w:b/>
          <w:color w:val="525866"/>
          <w:sz w:val="22"/>
        </w:rPr>
        <w:t>~$0.01 refinancing drag</w:t>
      </w:r>
      <w:r>
        <w:rPr>
          <w:rFonts w:ascii="Calibri" w:hAnsi="Calibri"/>
          <w:color w:val="525866"/>
          <w:sz w:val="22"/>
        </w:rPr>
        <w:t xml:space="preserve"> from the repaid 1.25% notes and early-stage </w:t>
      </w:r>
      <w:r>
        <w:rPr>
          <w:rFonts w:ascii="Calibri" w:hAnsi="Calibri"/>
          <w:b/>
          <w:color w:val="525866"/>
          <w:sz w:val="22"/>
        </w:rPr>
        <w:t>Blair lease-up dilution</w:t>
      </w:r>
      <w:r>
        <w:rPr>
          <w:rFonts w:ascii="Calibri" w:hAnsi="Calibri"/>
          <w:color w:val="525866"/>
          <w:sz w:val="22"/>
        </w:rPr>
        <w:t xml:space="preserve"> — while seasonal tailwinds (less weather disruption vs. Q1) and a robust signed-not-occupied pipeline of $36M in incremental rent provide a natural offset. Estimate revisions have been remarkably stable since the Q1 print, drifting only fractionally lower from $1.855 to $1.856 (effectively flat), suggesting the Street has fully digested guidance and is not pricing in incremental upside. The stock has rallied ~8% since the Q1 earnings date and trades at ~17.9x NTM EV/EBITDA, a meaningful re-rating that reflects growing confidence in the Q4 contractual step-up and 2027 acceleration — meaning the stock has already priced in a solid print, and a miss on comparable POI growth (guided to dip into the low-2% range in Q2) could disappoint even if FFO is in-line. The key wildcard is </w:t>
      </w:r>
      <w:r>
        <w:rPr>
          <w:rFonts w:ascii="Calibri" w:hAnsi="Calibri"/>
          <w:b/>
          <w:color w:val="525866"/>
          <w:sz w:val="22"/>
        </w:rPr>
        <w:t>same-store NOI</w:t>
      </w:r>
      <w:r>
        <w:rPr>
          <w:rFonts w:ascii="Calibri" w:hAnsi="Calibri"/>
          <w:color w:val="525866"/>
          <w:sz w:val="22"/>
        </w:rPr>
        <w:t>: peers KRG and REG both reported Q2 same-property NOI growth of 3.7–3.8%, well above their own guidance, and if FRT’s comparable POI similarly surprises to the upside (management guided “closer to 2” on a GAAP basis), that would be the single most powerful catalyst for a positive stock reaction.</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Core FFO of $1.856/share sits at the top of management’s guidance range — a clean but not heroic bar. Same-store NOI growth is the bigger swing factor: management guided “closer to 2%” GAAP for Q2, but peers are printing 3.7–3.8%, making any upside surprise here the most likely driver of a positive stock reaction.</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Mgmt Guidance (Q2)</w:t>
            </w:r>
          </w:p>
        </w:tc>
        <w:tc>
          <w:tcPr>
            <w:tcW w:type="dxa" w:w="1234"/>
            <w:shd w:val="clear" w:color="auto" w:fill="3B4259"/>
          </w:tcPr>
          <w:p>
            <w:r>
              <w:rPr>
                <w:rFonts w:ascii="Calibri" w:hAnsi="Calibri"/>
                <w:b/>
                <w:color w:val="FFFFFF"/>
                <w:sz w:val="22"/>
              </w:rPr>
              <w:t>Cons. vs. Guidance Midpoint</w:t>
            </w:r>
          </w:p>
        </w:tc>
      </w:tr>
      <w:tr>
        <w:tc>
          <w:tcPr>
            <w:tcW w:type="dxa" w:w="1234"/>
          </w:tcPr>
          <w:p>
            <w:r>
              <w:rPr>
                <w:rFonts w:ascii="Calibri" w:hAnsi="Calibri"/>
                <w:sz w:val="22"/>
              </w:rPr>
              <w:t>Core FFO per Share – Diluted ($)</w:t>
            </w:r>
          </w:p>
        </w:tc>
        <w:tc>
          <w:tcPr>
            <w:tcW w:type="dxa" w:w="1234"/>
          </w:tcPr>
          <w:p>
            <w:r>
              <w:rPr>
                <w:rFonts w:ascii="Calibri" w:hAnsi="Calibri"/>
                <w:sz w:val="22"/>
              </w:rPr>
              <w:t>$1.88</w:t>
            </w:r>
          </w:p>
        </w:tc>
        <w:tc>
          <w:tcPr>
            <w:tcW w:type="dxa" w:w="1234"/>
          </w:tcPr>
          <w:p>
            <w:r>
              <w:rPr>
                <w:rFonts w:ascii="Calibri" w:hAnsi="Calibri"/>
                <w:sz w:val="22"/>
              </w:rPr>
              <w:t>$1.806</w:t>
            </w:r>
          </w:p>
        </w:tc>
        <w:tc>
          <w:tcPr>
            <w:tcW w:type="dxa" w:w="1234"/>
          </w:tcPr>
          <w:p>
            <w:r>
              <w:rPr>
                <w:rFonts w:ascii="Calibri" w:hAnsi="Calibri"/>
                <w:sz w:val="22"/>
              </w:rPr>
              <w:t>$1.856</w:t>
            </w:r>
          </w:p>
        </w:tc>
        <w:tc>
          <w:tcPr>
            <w:tcW w:type="dxa" w:w="1234"/>
          </w:tcPr>
          <w:p>
            <w:r>
              <w:rPr>
                <w:rFonts w:ascii="Calibri" w:hAnsi="Calibri"/>
                <w:sz w:val="22"/>
              </w:rPr>
              <w:t>+2.8% YoY</w:t>
            </w:r>
          </w:p>
        </w:tc>
        <w:tc>
          <w:tcPr>
            <w:tcW w:type="dxa" w:w="1234"/>
          </w:tcPr>
          <w:p>
            <w:r>
              <w:rPr>
                <w:rFonts w:ascii="Calibri" w:hAnsi="Calibri"/>
                <w:sz w:val="22"/>
              </w:rPr>
              <w:t>$1.83–$1.86</w:t>
            </w:r>
          </w:p>
        </w:tc>
        <w:tc>
          <w:tcPr>
            <w:tcW w:type="dxa" w:w="1234"/>
          </w:tcPr>
          <w:p>
            <w:r>
              <w:rPr>
                <w:rFonts w:ascii="Calibri" w:hAnsi="Calibri"/>
                <w:sz w:val="22"/>
              </w:rPr>
              <w:t>+0.3% vs. $1.845 mid</w:t>
            </w:r>
          </w:p>
        </w:tc>
      </w:tr>
      <w:tr>
        <w:tc>
          <w:tcPr>
            <w:tcW w:type="dxa" w:w="1234"/>
          </w:tcPr>
          <w:p>
            <w:r>
              <w:rPr>
                <w:rFonts w:ascii="Calibri" w:hAnsi="Calibri"/>
                <w:sz w:val="22"/>
              </w:rPr>
              <w:t>Same-Store NOI Growth (%)</w:t>
            </w:r>
          </w:p>
        </w:tc>
        <w:tc>
          <w:tcPr>
            <w:tcW w:type="dxa" w:w="1234"/>
          </w:tcPr>
          <w:p>
            <w:r>
              <w:rPr>
                <w:rFonts w:ascii="Calibri" w:hAnsi="Calibri"/>
                <w:sz w:val="22"/>
              </w:rPr>
              <w:t>4.7%</w:t>
            </w:r>
          </w:p>
        </w:tc>
        <w:tc>
          <w:tcPr>
            <w:tcW w:type="dxa" w:w="1234"/>
          </w:tcPr>
          <w:p>
            <w:r>
              <w:rPr>
                <w:rFonts w:ascii="Calibri" w:hAnsi="Calibri"/>
                <w:sz w:val="22"/>
              </w:rPr>
              <w:t>4.5%</w:t>
            </w:r>
          </w:p>
        </w:tc>
        <w:tc>
          <w:tcPr>
            <w:tcW w:type="dxa" w:w="1234"/>
          </w:tcPr>
          <w:p>
            <w:r>
              <w:rPr>
                <w:rFonts w:ascii="Calibri" w:hAnsi="Calibri"/>
                <w:sz w:val="22"/>
              </w:rPr>
              <w:t>4.5%</w:t>
            </w:r>
          </w:p>
        </w:tc>
        <w:tc>
          <w:tcPr>
            <w:tcW w:type="dxa" w:w="1234"/>
          </w:tcPr>
          <w:p>
            <w:r>
              <w:rPr>
                <w:rFonts w:ascii="Calibri" w:hAnsi="Calibri"/>
                <w:sz w:val="22"/>
              </w:rPr>
              <w:t>Flat YoY</w:t>
            </w:r>
          </w:p>
        </w:tc>
        <w:tc>
          <w:tcPr>
            <w:tcW w:type="dxa" w:w="1234"/>
          </w:tcPr>
          <w:p>
            <w:r>
              <w:rPr>
                <w:rFonts w:ascii="Calibri" w:hAnsi="Calibri"/>
                <w:sz w:val="22"/>
              </w:rPr>
              <w:t>“Closer to 2%” GAAP</w:t>
            </w:r>
          </w:p>
        </w:tc>
        <w:tc>
          <w:tcPr>
            <w:tcW w:type="dxa" w:w="1234"/>
          </w:tcPr>
          <w:p>
            <w:r>
              <w:rPr>
                <w:rFonts w:ascii="Calibri" w:hAnsi="Calibri"/>
                <w:sz w:val="22"/>
              </w:rPr>
              <w:t>Cons. well above guidance</w:t>
            </w:r>
          </w:p>
        </w:tc>
      </w:tr>
      <w:tr>
        <w:tc>
          <w:tcPr>
            <w:tcW w:type="dxa" w:w="1234"/>
          </w:tcPr>
          <w:p>
            <w:r>
              <w:rPr>
                <w:rFonts w:ascii="Calibri" w:hAnsi="Calibri"/>
                <w:sz w:val="22"/>
              </w:rPr>
              <w:t>Commercial Occupancy (%)</w:t>
            </w:r>
          </w:p>
        </w:tc>
        <w:tc>
          <w:tcPr>
            <w:tcW w:type="dxa" w:w="1234"/>
          </w:tcPr>
          <w:p>
            <w:r>
              <w:rPr>
                <w:rFonts w:ascii="Calibri" w:hAnsi="Calibri"/>
                <w:sz w:val="22"/>
              </w:rPr>
              <w:t>93.8%</w:t>
            </w:r>
          </w:p>
        </w:tc>
        <w:tc>
          <w:tcPr>
            <w:tcW w:type="dxa" w:w="1234"/>
          </w:tcPr>
          <w:p>
            <w:r>
              <w:rPr>
                <w:rFonts w:ascii="Calibri" w:hAnsi="Calibri"/>
                <w:sz w:val="22"/>
              </w:rPr>
              <w:t>93.6%</w:t>
            </w:r>
          </w:p>
        </w:tc>
        <w:tc>
          <w:tcPr>
            <w:tcW w:type="dxa" w:w="1234"/>
          </w:tcPr>
          <w:p>
            <w:r>
              <w:rPr>
                <w:rFonts w:ascii="Calibri" w:hAnsi="Calibri"/>
                <w:sz w:val="22"/>
              </w:rPr>
              <w:t>93.8%</w:t>
            </w:r>
          </w:p>
        </w:tc>
        <w:tc>
          <w:tcPr>
            <w:tcW w:type="dxa" w:w="1234"/>
          </w:tcPr>
          <w:p>
            <w:r>
              <w:rPr>
                <w:rFonts w:ascii="Calibri" w:hAnsi="Calibri"/>
                <w:sz w:val="22"/>
              </w:rPr>
              <w:t>+20 bps YoY</w:t>
            </w:r>
          </w:p>
        </w:tc>
        <w:tc>
          <w:tcPr>
            <w:tcW w:type="dxa" w:w="1234"/>
          </w:tcPr>
          <w:p>
            <w:r>
              <w:rPr>
                <w:rFonts w:ascii="Calibri" w:hAnsi="Calibri"/>
                <w:sz w:val="22"/>
              </w:rPr>
              <w:t>Mid-to-upper 93% range</w:t>
            </w:r>
          </w:p>
        </w:tc>
        <w:tc>
          <w:tcPr>
            <w:tcW w:type="dxa" w:w="1234"/>
          </w:tcPr>
          <w:p>
            <w:r>
              <w:rPr>
                <w:rFonts w:ascii="Calibri" w:hAnsi="Calibri"/>
                <w:sz w:val="22"/>
              </w:rPr>
              <w:t>In-line with guidance</w:t>
            </w:r>
          </w:p>
        </w:tc>
      </w:tr>
      <w:tr>
        <w:tc>
          <w:tcPr>
            <w:tcW w:type="dxa" w:w="1234"/>
          </w:tcPr>
          <w:p>
            <w:r>
              <w:rPr>
                <w:rFonts w:ascii="Calibri" w:hAnsi="Calibri"/>
                <w:sz w:val="22"/>
              </w:rPr>
              <w:t>Commercial Leased Rate (%)</w:t>
            </w:r>
          </w:p>
        </w:tc>
        <w:tc>
          <w:tcPr>
            <w:tcW w:type="dxa" w:w="1234"/>
          </w:tcPr>
          <w:p>
            <w:r>
              <w:rPr>
                <w:rFonts w:ascii="Calibri" w:hAnsi="Calibri"/>
                <w:sz w:val="22"/>
              </w:rPr>
              <w:t>96.1%</w:t>
            </w:r>
          </w:p>
        </w:tc>
        <w:tc>
          <w:tcPr>
            <w:tcW w:type="dxa" w:w="1234"/>
          </w:tcPr>
          <w:p>
            <w:r>
              <w:rPr>
                <w:rFonts w:ascii="Calibri" w:hAnsi="Calibri"/>
                <w:sz w:val="22"/>
              </w:rPr>
              <w:t>95.4%</w:t>
            </w:r>
          </w:p>
        </w:tc>
        <w:tc>
          <w:tcPr>
            <w:tcW w:type="dxa" w:w="1234"/>
          </w:tcPr>
          <w:p>
            <w:r>
              <w:rPr>
                <w:rFonts w:ascii="Calibri" w:hAnsi="Calibri"/>
                <w:sz w:val="22"/>
              </w:rPr>
              <w:t>96.0%</w:t>
            </w:r>
          </w:p>
        </w:tc>
        <w:tc>
          <w:tcPr>
            <w:tcW w:type="dxa" w:w="1234"/>
          </w:tcPr>
          <w:p>
            <w:r>
              <w:rPr>
                <w:rFonts w:ascii="Calibri" w:hAnsi="Calibri"/>
                <w:sz w:val="22"/>
              </w:rPr>
              <w:t>+60 bps YoY</w:t>
            </w:r>
          </w:p>
        </w:tc>
        <w:tc>
          <w:tcPr>
            <w:tcW w:type="dxa" w:w="1234"/>
          </w:tcPr>
          <w:p>
            <w:r>
              <w:rPr>
                <w:rFonts w:ascii="Calibri" w:hAnsi="Calibri"/>
                <w:sz w:val="22"/>
              </w:rPr>
              <w:t>Held firm ~96%</w:t>
            </w:r>
          </w:p>
        </w:tc>
        <w:tc>
          <w:tcPr>
            <w:tcW w:type="dxa" w:w="1234"/>
          </w:tcPr>
          <w:p>
            <w:r>
              <w:rPr>
                <w:rFonts w:ascii="Calibri" w:hAnsi="Calibri"/>
                <w:sz w:val="22"/>
              </w:rPr>
              <w:t>In-line with guidance</w:t>
            </w:r>
          </w:p>
        </w:tc>
      </w:tr>
      <w:tr>
        <w:tc>
          <w:tcPr>
            <w:tcW w:type="dxa" w:w="1234"/>
          </w:tcPr>
          <w:p>
            <w:r>
              <w:rPr>
                <w:rFonts w:ascii="Calibri" w:hAnsi="Calibri"/>
                <w:sz w:val="22"/>
              </w:rPr>
              <w:t>Lease Rollover Markups – Cash (%)</w:t>
            </w:r>
          </w:p>
        </w:tc>
        <w:tc>
          <w:tcPr>
            <w:tcW w:type="dxa" w:w="1234"/>
          </w:tcPr>
          <w:p>
            <w:r>
              <w:rPr>
                <w:rFonts w:ascii="Calibri" w:hAnsi="Calibri"/>
                <w:sz w:val="22"/>
              </w:rPr>
              <w:t>13%</w:t>
            </w:r>
          </w:p>
        </w:tc>
        <w:tc>
          <w:tcPr>
            <w:tcW w:type="dxa" w:w="1234"/>
          </w:tcPr>
          <w:p>
            <w:r>
              <w:rPr>
                <w:rFonts w:ascii="Calibri" w:hAnsi="Calibri"/>
                <w:sz w:val="22"/>
              </w:rPr>
              <w:t>10%</w:t>
            </w:r>
          </w:p>
        </w:tc>
        <w:tc>
          <w:tcPr>
            <w:tcW w:type="dxa" w:w="1234"/>
          </w:tcPr>
          <w:p>
            <w:r>
              <w:rPr>
                <w:rFonts w:ascii="Calibri" w:hAnsi="Calibri"/>
                <w:sz w:val="22"/>
              </w:rPr>
              <w:t>11.4%</w:t>
            </w:r>
          </w:p>
        </w:tc>
        <w:tc>
          <w:tcPr>
            <w:tcW w:type="dxa" w:w="1234"/>
          </w:tcPr>
          <w:p>
            <w:r>
              <w:rPr>
                <w:rFonts w:ascii="Calibri" w:hAnsi="Calibri"/>
                <w:sz w:val="22"/>
              </w:rPr>
              <w:t>+140 bps YoY</w:t>
            </w:r>
          </w:p>
        </w:tc>
        <w:tc>
          <w:tcPr>
            <w:tcW w:type="dxa" w:w="1234"/>
          </w:tcPr>
          <w:p>
            <w:r>
              <w:rPr>
                <w:rFonts w:ascii="Calibri" w:hAnsi="Calibri"/>
                <w:sz w:val="22"/>
              </w:rPr>
              <w:t>No specific guidance</w:t>
            </w:r>
          </w:p>
        </w:tc>
        <w:tc>
          <w:tcPr>
            <w:tcW w:type="dxa" w:w="1234"/>
          </w:tcPr>
          <w:p>
            <w:r>
              <w:rPr>
                <w:rFonts w:ascii="Calibri" w:hAnsi="Calibri"/>
                <w:sz w:val="22"/>
              </w:rPr>
              <w:t>N/A</w:t>
            </w:r>
          </w:p>
        </w:tc>
      </w:tr>
    </w:tbl>
    <w:p>
      <w:r>
        <w:rPr>
          <w:rFonts w:ascii="Calibri" w:hAnsi="Calibri"/>
          <w:i/>
          <w:color w:val="525866"/>
          <w:sz w:val="22"/>
        </w:rPr>
        <w:t>Source: Visible Alpha Consensus and Actuals Data; FRT Q1 2026 Earnings Call (May 1, 2026); FRT 2026 Investor Day (May 21, 2026).</w:t>
      </w:r>
    </w:p>
    <w:p>
      <w:pPr>
        <w:pStyle w:val="Heading3"/>
      </w:pPr>
      <w:r>
        <w:rPr>
          <w:rFonts w:ascii="Calibri" w:hAnsi="Calibri"/>
          <w:b/>
          <w:color w:val="3B4259"/>
          <w:sz w:val="24"/>
        </w:rPr>
        <w:t>Table 2 — Beat/Miss History: Core FFO per Share (Last 8 Quarters)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1.88</w:t>
            </w:r>
          </w:p>
        </w:tc>
        <w:tc>
          <w:tcPr>
            <w:tcW w:type="dxa" w:w="1728"/>
          </w:tcPr>
          <w:p>
            <w:r>
              <w:rPr>
                <w:rFonts w:ascii="Calibri" w:hAnsi="Calibri"/>
                <w:sz w:val="22"/>
              </w:rPr>
              <w:t>1.820</w:t>
            </w:r>
          </w:p>
        </w:tc>
        <w:tc>
          <w:tcPr>
            <w:tcW w:type="dxa" w:w="1728"/>
          </w:tcPr>
          <w:p>
            <w:r>
              <w:rPr>
                <w:rFonts w:ascii="Calibri" w:hAnsi="Calibri"/>
                <w:b/>
                <w:color w:val="30A46C"/>
                <w:sz w:val="22"/>
              </w:rPr>
              <w:t>+3.3%</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1.84</w:t>
            </w:r>
          </w:p>
        </w:tc>
        <w:tc>
          <w:tcPr>
            <w:tcW w:type="dxa" w:w="1728"/>
          </w:tcPr>
          <w:p>
            <w:r>
              <w:rPr>
                <w:rFonts w:ascii="Calibri" w:hAnsi="Calibri"/>
                <w:sz w:val="22"/>
              </w:rPr>
              <w:t>1.857</w:t>
            </w:r>
          </w:p>
        </w:tc>
        <w:tc>
          <w:tcPr>
            <w:tcW w:type="dxa" w:w="1728"/>
          </w:tcPr>
          <w:p>
            <w:r>
              <w:rPr>
                <w:rFonts w:ascii="Calibri" w:hAnsi="Calibri"/>
                <w:b/>
                <w:color w:val="E5484D"/>
                <w:sz w:val="22"/>
              </w:rPr>
              <w:t>-0.9%</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1.767</w:t>
            </w:r>
          </w:p>
        </w:tc>
        <w:tc>
          <w:tcPr>
            <w:tcW w:type="dxa" w:w="1728"/>
          </w:tcPr>
          <w:p>
            <w:r>
              <w:rPr>
                <w:rFonts w:ascii="Calibri" w:hAnsi="Calibri"/>
                <w:sz w:val="22"/>
              </w:rPr>
              <w:t>1.764</w:t>
            </w:r>
          </w:p>
        </w:tc>
        <w:tc>
          <w:tcPr>
            <w:tcW w:type="dxa" w:w="1728"/>
          </w:tcPr>
          <w:p>
            <w:r>
              <w:rPr>
                <w:rFonts w:ascii="Calibri" w:hAnsi="Calibri"/>
                <w:b/>
                <w:color w:val="30A46C"/>
                <w:sz w:val="22"/>
              </w:rPr>
              <w:t>+0.2%</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1.806</w:t>
            </w:r>
          </w:p>
        </w:tc>
        <w:tc>
          <w:tcPr>
            <w:tcW w:type="dxa" w:w="1728"/>
          </w:tcPr>
          <w:p>
            <w:r>
              <w:rPr>
                <w:rFonts w:ascii="Calibri" w:hAnsi="Calibri"/>
                <w:sz w:val="22"/>
              </w:rPr>
              <w:t>1.725</w:t>
            </w:r>
          </w:p>
        </w:tc>
        <w:tc>
          <w:tcPr>
            <w:tcW w:type="dxa" w:w="1728"/>
          </w:tcPr>
          <w:p>
            <w:r>
              <w:rPr>
                <w:rFonts w:ascii="Calibri" w:hAnsi="Calibri"/>
                <w:b/>
                <w:color w:val="30A46C"/>
                <w:sz w:val="22"/>
              </w:rPr>
              <w:t>+4.7%</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1.70</w:t>
            </w:r>
          </w:p>
        </w:tc>
        <w:tc>
          <w:tcPr>
            <w:tcW w:type="dxa" w:w="1728"/>
          </w:tcPr>
          <w:p>
            <w:r>
              <w:rPr>
                <w:rFonts w:ascii="Calibri" w:hAnsi="Calibri"/>
                <w:sz w:val="22"/>
              </w:rPr>
              <w:t>1.691</w:t>
            </w:r>
          </w:p>
        </w:tc>
        <w:tc>
          <w:tcPr>
            <w:tcW w:type="dxa" w:w="1728"/>
          </w:tcPr>
          <w:p>
            <w:r>
              <w:rPr>
                <w:rFonts w:ascii="Calibri" w:hAnsi="Calibri"/>
                <w:b/>
                <w:color w:val="30A46C"/>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1.728</w:t>
            </w:r>
          </w:p>
        </w:tc>
        <w:tc>
          <w:tcPr>
            <w:tcW w:type="dxa" w:w="1728"/>
          </w:tcPr>
          <w:p>
            <w:r>
              <w:rPr>
                <w:rFonts w:ascii="Calibri" w:hAnsi="Calibri"/>
                <w:sz w:val="22"/>
              </w:rPr>
              <w:t>1.737</w:t>
            </w:r>
          </w:p>
        </w:tc>
        <w:tc>
          <w:tcPr>
            <w:tcW w:type="dxa" w:w="1728"/>
          </w:tcPr>
          <w:p>
            <w:r>
              <w:rPr>
                <w:rFonts w:ascii="Calibri" w:hAnsi="Calibri"/>
                <w:b/>
                <w:color w:val="E5484D"/>
                <w:sz w:val="22"/>
              </w:rPr>
              <w:t>-0.5%</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1.707</w:t>
            </w:r>
          </w:p>
        </w:tc>
        <w:tc>
          <w:tcPr>
            <w:tcW w:type="dxa" w:w="1728"/>
          </w:tcPr>
          <w:p>
            <w:r>
              <w:rPr>
                <w:rFonts w:ascii="Calibri" w:hAnsi="Calibri"/>
                <w:sz w:val="22"/>
              </w:rPr>
              <w:t>1.716</w:t>
            </w:r>
          </w:p>
        </w:tc>
        <w:tc>
          <w:tcPr>
            <w:tcW w:type="dxa" w:w="1728"/>
          </w:tcPr>
          <w:p>
            <w:r>
              <w:rPr>
                <w:rFonts w:ascii="Calibri" w:hAnsi="Calibri"/>
                <w:b/>
                <w:color w:val="E5484D"/>
                <w:sz w:val="22"/>
              </w:rPr>
              <w:t>-0.5%</w:t>
            </w:r>
          </w:p>
        </w:tc>
        <w:tc>
          <w:tcPr>
            <w:tcW w:type="dxa" w:w="1728"/>
          </w:tcPr>
          <w:p>
            <w:r>
              <w:rPr>
                <w:rFonts w:ascii="Calibri" w:hAnsi="Calibri"/>
                <w:b/>
                <w:color w:val="E5484D"/>
                <w:sz w:val="22"/>
              </w:rPr>
              <w:t>Miss</w:t>
            </w:r>
          </w:p>
        </w:tc>
      </w:tr>
      <w:tr>
        <w:tc>
          <w:tcPr>
            <w:tcW w:type="dxa" w:w="1728"/>
          </w:tcPr>
          <w:p>
            <w:r>
              <w:rPr>
                <w:rFonts w:ascii="Calibri" w:hAnsi="Calibri"/>
                <w:sz w:val="22"/>
              </w:rPr>
              <w:t>Q2 2024</w:t>
            </w:r>
          </w:p>
        </w:tc>
        <w:tc>
          <w:tcPr>
            <w:tcW w:type="dxa" w:w="1728"/>
          </w:tcPr>
          <w:p>
            <w:r>
              <w:rPr>
                <w:rFonts w:ascii="Calibri" w:hAnsi="Calibri"/>
                <w:sz w:val="22"/>
              </w:rPr>
              <w:t>1.689</w:t>
            </w:r>
          </w:p>
        </w:tc>
        <w:tc>
          <w:tcPr>
            <w:tcW w:type="dxa" w:w="1728"/>
          </w:tcPr>
          <w:p>
            <w:r>
              <w:rPr>
                <w:rFonts w:ascii="Calibri" w:hAnsi="Calibri"/>
                <w:sz w:val="22"/>
              </w:rPr>
              <w:t>1.679</w:t>
            </w:r>
          </w:p>
        </w:tc>
        <w:tc>
          <w:tcPr>
            <w:tcW w:type="dxa" w:w="1728"/>
          </w:tcPr>
          <w:p>
            <w:r>
              <w:rPr>
                <w:rFonts w:ascii="Calibri" w:hAnsi="Calibri"/>
                <w:b/>
                <w:color w:val="30A46C"/>
                <w:sz w:val="22"/>
              </w:rPr>
              <w:t>+0.6%</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FRT has beaten Core FFO consensus in 5 of the last 8 quarters, with the two largest beats (+3.3% in Q1 2026 and +4.7% in Q2 2025) driven by operational outperformance and timing pull-forwards; the three misses were narrow (−1% or less), suggesting the Street tends to underestimate FRT in strong leasing environments.</w:t>
      </w:r>
    </w:p>
    <w:p>
      <w:r>
        <w:rPr>
          <w:rFonts w:ascii="Calibri" w:hAnsi="Calibri"/>
          <w:i/>
          <w:color w:val="525866"/>
          <w:sz w:val="22"/>
        </w:rPr>
        <w:t>Source: Visible Alpha Consensus and Actuals Data.</w:t>
      </w:r>
    </w:p>
    <w:p>
      <w:pPr>
        <w:pStyle w:val="Heading3"/>
      </w:pPr>
      <w:r>
        <w:rPr>
          <w:rFonts w:ascii="Calibri" w:hAnsi="Calibri"/>
          <w:b/>
          <w:color w:val="3B4259"/>
          <w:sz w:val="24"/>
        </w:rPr>
        <w:t>Table 3 — Beat/Miss History: Same-Store NOI Growth (Last 8 Quarters)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4.7%</w:t>
            </w:r>
          </w:p>
        </w:tc>
        <w:tc>
          <w:tcPr>
            <w:tcW w:type="dxa" w:w="1728"/>
          </w:tcPr>
          <w:p>
            <w:r>
              <w:rPr>
                <w:rFonts w:ascii="Calibri" w:hAnsi="Calibri"/>
                <w:sz w:val="22"/>
              </w:rPr>
              <w:t>5.3%</w:t>
            </w:r>
          </w:p>
        </w:tc>
        <w:tc>
          <w:tcPr>
            <w:tcW w:type="dxa" w:w="1728"/>
          </w:tcPr>
          <w:p>
            <w:r>
              <w:rPr>
                <w:rFonts w:ascii="Calibri" w:hAnsi="Calibri"/>
                <w:b/>
                <w:color w:val="E5484D"/>
                <w:sz w:val="22"/>
              </w:rPr>
              <w:t>-60 bps</w:t>
            </w:r>
          </w:p>
        </w:tc>
        <w:tc>
          <w:tcPr>
            <w:tcW w:type="dxa" w:w="1728"/>
          </w:tcPr>
          <w:p>
            <w:r>
              <w:rPr>
                <w:rFonts w:ascii="Calibri" w:hAnsi="Calibri"/>
                <w:b/>
                <w:color w:val="E5484D"/>
                <w:sz w:val="22"/>
              </w:rPr>
              <w:t>Miss vs. Cons.</w:t>
            </w:r>
          </w:p>
        </w:tc>
      </w:tr>
      <w:tr>
        <w:tc>
          <w:tcPr>
            <w:tcW w:type="dxa" w:w="1728"/>
          </w:tcPr>
          <w:p>
            <w:r>
              <w:rPr>
                <w:rFonts w:ascii="Calibri" w:hAnsi="Calibri"/>
                <w:sz w:val="22"/>
              </w:rPr>
              <w:t>Q4 2025</w:t>
            </w:r>
          </w:p>
        </w:tc>
        <w:tc>
          <w:tcPr>
            <w:tcW w:type="dxa" w:w="1728"/>
          </w:tcPr>
          <w:p>
            <w:r>
              <w:rPr>
                <w:rFonts w:ascii="Calibri" w:hAnsi="Calibri"/>
                <w:sz w:val="22"/>
              </w:rPr>
              <w:t>2.8%</w:t>
            </w:r>
          </w:p>
        </w:tc>
        <w:tc>
          <w:tcPr>
            <w:tcW w:type="dxa" w:w="1728"/>
          </w:tcPr>
          <w:p>
            <w:r>
              <w:rPr>
                <w:rFonts w:ascii="Calibri" w:hAnsi="Calibri"/>
                <w:sz w:val="22"/>
              </w:rPr>
              <w:t>4.2%</w:t>
            </w:r>
          </w:p>
        </w:tc>
        <w:tc>
          <w:tcPr>
            <w:tcW w:type="dxa" w:w="1728"/>
          </w:tcPr>
          <w:p>
            <w:r>
              <w:rPr>
                <w:rFonts w:ascii="Calibri" w:hAnsi="Calibri"/>
                <w:b/>
                <w:color w:val="E5484D"/>
                <w:sz w:val="22"/>
              </w:rPr>
              <w:t>-140 bps</w:t>
            </w:r>
          </w:p>
        </w:tc>
        <w:tc>
          <w:tcPr>
            <w:tcW w:type="dxa" w:w="1728"/>
          </w:tcPr>
          <w:p>
            <w:r>
              <w:rPr>
                <w:rFonts w:ascii="Calibri" w:hAnsi="Calibri"/>
                <w:b/>
                <w:color w:val="E5484D"/>
                <w:sz w:val="22"/>
              </w:rPr>
              <w:t>Miss vs. Cons.</w:t>
            </w:r>
          </w:p>
        </w:tc>
      </w:tr>
      <w:tr>
        <w:tc>
          <w:tcPr>
            <w:tcW w:type="dxa" w:w="1728"/>
          </w:tcPr>
          <w:p>
            <w:r>
              <w:rPr>
                <w:rFonts w:ascii="Calibri" w:hAnsi="Calibri"/>
                <w:sz w:val="22"/>
              </w:rPr>
              <w:t>Q3 2025</w:t>
            </w:r>
          </w:p>
        </w:tc>
        <w:tc>
          <w:tcPr>
            <w:tcW w:type="dxa" w:w="1728"/>
          </w:tcPr>
          <w:p>
            <w:r>
              <w:rPr>
                <w:rFonts w:ascii="Calibri" w:hAnsi="Calibri"/>
                <w:sz w:val="22"/>
              </w:rPr>
              <w:t>4.4%</w:t>
            </w:r>
          </w:p>
        </w:tc>
        <w:tc>
          <w:tcPr>
            <w:tcW w:type="dxa" w:w="1728"/>
          </w:tcPr>
          <w:p>
            <w:r>
              <w:rPr>
                <w:rFonts w:ascii="Calibri" w:hAnsi="Calibri"/>
                <w:sz w:val="22"/>
              </w:rPr>
              <w:t>3.2%</w:t>
            </w:r>
          </w:p>
        </w:tc>
        <w:tc>
          <w:tcPr>
            <w:tcW w:type="dxa" w:w="1728"/>
          </w:tcPr>
          <w:p>
            <w:r>
              <w:rPr>
                <w:rFonts w:ascii="Calibri" w:hAnsi="Calibri"/>
                <w:b/>
                <w:color w:val="30A46C"/>
                <w:sz w:val="22"/>
              </w:rPr>
              <w:t>+120 bps</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4.5%</w:t>
            </w:r>
          </w:p>
        </w:tc>
        <w:tc>
          <w:tcPr>
            <w:tcW w:type="dxa" w:w="1728"/>
          </w:tcPr>
          <w:p>
            <w:r>
              <w:rPr>
                <w:rFonts w:ascii="Calibri" w:hAnsi="Calibri"/>
                <w:sz w:val="22"/>
              </w:rPr>
              <w:t>2.2%</w:t>
            </w:r>
          </w:p>
        </w:tc>
        <w:tc>
          <w:tcPr>
            <w:tcW w:type="dxa" w:w="1728"/>
          </w:tcPr>
          <w:p>
            <w:r>
              <w:rPr>
                <w:rFonts w:ascii="Calibri" w:hAnsi="Calibri"/>
                <w:b/>
                <w:color w:val="30A46C"/>
                <w:sz w:val="22"/>
              </w:rPr>
              <w:t>+230 bps</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2.6%</w:t>
            </w:r>
          </w:p>
        </w:tc>
        <w:tc>
          <w:tcPr>
            <w:tcW w:type="dxa" w:w="1728"/>
          </w:tcPr>
          <w:p>
            <w:r>
              <w:rPr>
                <w:rFonts w:ascii="Calibri" w:hAnsi="Calibri"/>
                <w:sz w:val="22"/>
              </w:rPr>
              <w:t>3.7%</w:t>
            </w:r>
          </w:p>
        </w:tc>
        <w:tc>
          <w:tcPr>
            <w:tcW w:type="dxa" w:w="1728"/>
          </w:tcPr>
          <w:p>
            <w:r>
              <w:rPr>
                <w:rFonts w:ascii="Calibri" w:hAnsi="Calibri"/>
                <w:b/>
                <w:color w:val="E5484D"/>
                <w:sz w:val="22"/>
              </w:rPr>
              <w:t>-110 bps</w:t>
            </w:r>
          </w:p>
        </w:tc>
        <w:tc>
          <w:tcPr>
            <w:tcW w:type="dxa" w:w="1728"/>
          </w:tcPr>
          <w:p>
            <w:r>
              <w:rPr>
                <w:rFonts w:ascii="Calibri" w:hAnsi="Calibri"/>
                <w:b/>
                <w:color w:val="E5484D"/>
                <w:sz w:val="22"/>
              </w:rPr>
              <w:t>Miss vs. Cons.</w:t>
            </w:r>
          </w:p>
        </w:tc>
      </w:tr>
      <w:tr>
        <w:tc>
          <w:tcPr>
            <w:tcW w:type="dxa" w:w="1728"/>
          </w:tcPr>
          <w:p>
            <w:r>
              <w:rPr>
                <w:rFonts w:ascii="Calibri" w:hAnsi="Calibri"/>
                <w:sz w:val="22"/>
              </w:rPr>
              <w:t>Q4 2024</w:t>
            </w:r>
          </w:p>
        </w:tc>
        <w:tc>
          <w:tcPr>
            <w:tcW w:type="dxa" w:w="1728"/>
          </w:tcPr>
          <w:p>
            <w:r>
              <w:rPr>
                <w:rFonts w:ascii="Calibri" w:hAnsi="Calibri"/>
                <w:sz w:val="22"/>
              </w:rPr>
              <w:t>3.8%</w:t>
            </w:r>
          </w:p>
        </w:tc>
        <w:tc>
          <w:tcPr>
            <w:tcW w:type="dxa" w:w="1728"/>
          </w:tcPr>
          <w:p>
            <w:r>
              <w:rPr>
                <w:rFonts w:ascii="Calibri" w:hAnsi="Calibri"/>
                <w:sz w:val="22"/>
              </w:rPr>
              <w:t>5.9%</w:t>
            </w:r>
          </w:p>
        </w:tc>
        <w:tc>
          <w:tcPr>
            <w:tcW w:type="dxa" w:w="1728"/>
          </w:tcPr>
          <w:p>
            <w:r>
              <w:rPr>
                <w:rFonts w:ascii="Calibri" w:hAnsi="Calibri"/>
                <w:b/>
                <w:color w:val="E5484D"/>
                <w:sz w:val="22"/>
              </w:rPr>
              <w:t>-210 bps</w:t>
            </w:r>
          </w:p>
        </w:tc>
        <w:tc>
          <w:tcPr>
            <w:tcW w:type="dxa" w:w="1728"/>
          </w:tcPr>
          <w:p>
            <w:r>
              <w:rPr>
                <w:rFonts w:ascii="Calibri" w:hAnsi="Calibri"/>
                <w:b/>
                <w:color w:val="E5484D"/>
                <w:sz w:val="22"/>
              </w:rPr>
              <w:t>Miss vs. Cons.</w:t>
            </w:r>
          </w:p>
        </w:tc>
      </w:tr>
      <w:tr>
        <w:tc>
          <w:tcPr>
            <w:tcW w:type="dxa" w:w="1728"/>
          </w:tcPr>
          <w:p>
            <w:r>
              <w:rPr>
                <w:rFonts w:ascii="Calibri" w:hAnsi="Calibri"/>
                <w:sz w:val="22"/>
              </w:rPr>
              <w:t>Q3 2024</w:t>
            </w:r>
          </w:p>
        </w:tc>
        <w:tc>
          <w:tcPr>
            <w:tcW w:type="dxa" w:w="1728"/>
          </w:tcPr>
          <w:p>
            <w:r>
              <w:rPr>
                <w:rFonts w:ascii="Calibri" w:hAnsi="Calibri"/>
                <w:sz w:val="22"/>
              </w:rPr>
              <w:t>2.0%</w:t>
            </w:r>
          </w:p>
        </w:tc>
        <w:tc>
          <w:tcPr>
            <w:tcW w:type="dxa" w:w="1728"/>
          </w:tcPr>
          <w:p>
            <w:r>
              <w:rPr>
                <w:rFonts w:ascii="Calibri" w:hAnsi="Calibri"/>
                <w:sz w:val="22"/>
              </w:rPr>
              <w:t>4.7%</w:t>
            </w:r>
          </w:p>
        </w:tc>
        <w:tc>
          <w:tcPr>
            <w:tcW w:type="dxa" w:w="1728"/>
          </w:tcPr>
          <w:p>
            <w:r>
              <w:rPr>
                <w:rFonts w:ascii="Calibri" w:hAnsi="Calibri"/>
                <w:b/>
                <w:color w:val="E5484D"/>
                <w:sz w:val="22"/>
              </w:rPr>
              <w:t>-270 bps</w:t>
            </w:r>
          </w:p>
        </w:tc>
        <w:tc>
          <w:tcPr>
            <w:tcW w:type="dxa" w:w="1728"/>
          </w:tcPr>
          <w:p>
            <w:r>
              <w:rPr>
                <w:rFonts w:ascii="Calibri" w:hAnsi="Calibri"/>
                <w:b/>
                <w:color w:val="E5484D"/>
                <w:sz w:val="22"/>
              </w:rPr>
              <w:t>Miss vs. Cons.</w:t>
            </w:r>
          </w:p>
        </w:tc>
      </w:tr>
      <w:tr>
        <w:tc>
          <w:tcPr>
            <w:tcW w:type="dxa" w:w="1728"/>
          </w:tcPr>
          <w:p>
            <w:r>
              <w:rPr>
                <w:rFonts w:ascii="Calibri" w:hAnsi="Calibri"/>
                <w:sz w:val="22"/>
              </w:rPr>
              <w:t>Q2 2024</w:t>
            </w:r>
          </w:p>
        </w:tc>
        <w:tc>
          <w:tcPr>
            <w:tcW w:type="dxa" w:w="1728"/>
          </w:tcPr>
          <w:p>
            <w:r>
              <w:rPr>
                <w:rFonts w:ascii="Calibri" w:hAnsi="Calibri"/>
                <w:sz w:val="22"/>
              </w:rPr>
              <w:t>2.3%</w:t>
            </w:r>
          </w:p>
        </w:tc>
        <w:tc>
          <w:tcPr>
            <w:tcW w:type="dxa" w:w="1728"/>
          </w:tcPr>
          <w:p>
            <w:r>
              <w:rPr>
                <w:rFonts w:ascii="Calibri" w:hAnsi="Calibri"/>
                <w:sz w:val="22"/>
              </w:rPr>
              <w:t>3.0%</w:t>
            </w:r>
          </w:p>
        </w:tc>
        <w:tc>
          <w:tcPr>
            <w:tcW w:type="dxa" w:w="1728"/>
          </w:tcPr>
          <w:p>
            <w:r>
              <w:rPr>
                <w:rFonts w:ascii="Calibri" w:hAnsi="Calibri"/>
                <w:b/>
                <w:color w:val="E5484D"/>
                <w:sz w:val="22"/>
              </w:rPr>
              <w:t>-70 bps</w:t>
            </w:r>
          </w:p>
        </w:tc>
        <w:tc>
          <w:tcPr>
            <w:tcW w:type="dxa" w:w="1728"/>
          </w:tcPr>
          <w:p>
            <w:r>
              <w:rPr>
                <w:rFonts w:ascii="Calibri" w:hAnsi="Calibri"/>
                <w:b/>
                <w:color w:val="E5484D"/>
                <w:sz w:val="22"/>
              </w:rPr>
              <w:t>Miss vs. Cons.</w:t>
            </w:r>
          </w:p>
        </w:tc>
      </w:tr>
    </w:tbl>
    <w:p>
      <w:r>
        <w:rPr>
          <w:rFonts w:ascii="Calibri" w:hAnsi="Calibri"/>
          <w:b/>
          <w:color w:val="525866"/>
          <w:sz w:val="22"/>
        </w:rPr>
        <w:t xml:space="preserve">Pattern: </w:t>
      </w:r>
      <w:r>
        <w:rPr>
          <w:rFonts w:ascii="Calibri" w:hAnsi="Calibri"/>
          <w:color w:val="525866"/>
          <w:sz w:val="22"/>
        </w:rPr>
        <w:t>The Street has consistently set an overly optimistic bar for same-store NOI growth — FRT has missed consensus on this metric in 6 of the last 8 quarters. However, the two beats (Q2 and Q3 2025) were large, suggesting the metric is lumpy and management guidance is a better anchor than consensus. With management guiding Q2 2026 to “closer to 2%” GAAP, the current consensus of 4.5% appears materially above guidance and represents a key risk to the downside on this line.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was raised and tightened at Q1 earnings (May 1) and reaffirmed at Investor Day (May 21) — no post-Investor Day revisions. Tone is constructive: management is confident in the Q4 contractual step-up and 2027 acceleration, while being explicitly conservative on Q2/Q3 comparable POI given known timing headwinds.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1)</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Core FFO/Share</w:t>
            </w:r>
          </w:p>
        </w:tc>
        <w:tc>
          <w:tcPr>
            <w:tcW w:type="dxa" w:w="1728"/>
          </w:tcPr>
          <w:p>
            <w:r>
              <w:rPr>
                <w:rFonts w:ascii="Calibri" w:hAnsi="Calibri"/>
                <w:sz w:val="22"/>
              </w:rPr>
              <w:t>$7.46–$7.55 (raised from $7.43–$7.51)</w:t>
            </w:r>
          </w:p>
        </w:tc>
        <w:tc>
          <w:tcPr>
            <w:tcW w:type="dxa" w:w="1728"/>
          </w:tcPr>
          <w:p>
            <w:r>
              <w:rPr>
                <w:rFonts w:ascii="Calibri" w:hAnsi="Calibri"/>
                <w:sz w:val="22"/>
              </w:rPr>
              <w:t>—</w:t>
            </w:r>
          </w:p>
        </w:tc>
        <w:tc>
          <w:tcPr>
            <w:tcW w:type="dxa" w:w="1728"/>
          </w:tcPr>
          <w:p>
            <w:r>
              <w:rPr>
                <w:rFonts w:ascii="Calibri" w:hAnsi="Calibri"/>
                <w:sz w:val="22"/>
              </w:rPr>
              <w:t>$7.525</w:t>
            </w:r>
          </w:p>
        </w:tc>
        <w:tc>
          <w:tcPr>
            <w:tcW w:type="dxa" w:w="1728"/>
          </w:tcPr>
          <w:p>
            <w:r>
              <w:rPr>
                <w:rFonts w:ascii="Calibri" w:hAnsi="Calibri"/>
                <w:sz w:val="22"/>
              </w:rPr>
              <w:t>Reaffirmed at Investor Day (May 21); midpoint implies 6.3% growth vs. 2025</w:t>
            </w:r>
          </w:p>
        </w:tc>
      </w:tr>
      <w:tr>
        <w:tc>
          <w:tcPr>
            <w:tcW w:type="dxa" w:w="1728"/>
          </w:tcPr>
          <w:p>
            <w:r>
              <w:rPr>
                <w:rFonts w:ascii="Calibri" w:hAnsi="Calibri"/>
                <w:sz w:val="22"/>
              </w:rPr>
              <w:t>Q2 2026 Core FFO/Share</w:t>
            </w:r>
          </w:p>
        </w:tc>
        <w:tc>
          <w:tcPr>
            <w:tcW w:type="dxa" w:w="1728"/>
          </w:tcPr>
          <w:p>
            <w:r>
              <w:rPr>
                <w:rFonts w:ascii="Calibri" w:hAnsi="Calibri"/>
                <w:sz w:val="22"/>
              </w:rPr>
              <w:t>$1.83–$1.86</w:t>
            </w:r>
          </w:p>
        </w:tc>
        <w:tc>
          <w:tcPr>
            <w:tcW w:type="dxa" w:w="1728"/>
          </w:tcPr>
          <w:p>
            <w:r>
              <w:rPr>
                <w:rFonts w:ascii="Calibri" w:hAnsi="Calibri"/>
                <w:sz w:val="22"/>
              </w:rPr>
              <w:t>—</w:t>
            </w:r>
          </w:p>
        </w:tc>
        <w:tc>
          <w:tcPr>
            <w:tcW w:type="dxa" w:w="1728"/>
          </w:tcPr>
          <w:p>
            <w:r>
              <w:rPr>
                <w:rFonts w:ascii="Calibri" w:hAnsi="Calibri"/>
                <w:sz w:val="22"/>
              </w:rPr>
              <w:t>$1.856</w:t>
            </w:r>
          </w:p>
        </w:tc>
        <w:tc>
          <w:tcPr>
            <w:tcW w:type="dxa" w:w="1728"/>
          </w:tcPr>
          <w:p>
            <w:r>
              <w:rPr>
                <w:rFonts w:ascii="Calibri" w:hAnsi="Calibri"/>
                <w:sz w:val="22"/>
              </w:rPr>
              <w:t>Consensus at top of range; ~$0.01 refinancing drag + Blair lease-up headwind flagged</w:t>
            </w:r>
          </w:p>
        </w:tc>
      </w:tr>
      <w:tr>
        <w:tc>
          <w:tcPr>
            <w:tcW w:type="dxa" w:w="1728"/>
          </w:tcPr>
          <w:p>
            <w:r>
              <w:rPr>
                <w:rFonts w:ascii="Calibri" w:hAnsi="Calibri"/>
                <w:sz w:val="22"/>
              </w:rPr>
              <w:t>Q3 2026 Core FFO/Share</w:t>
            </w:r>
          </w:p>
        </w:tc>
        <w:tc>
          <w:tcPr>
            <w:tcW w:type="dxa" w:w="1728"/>
          </w:tcPr>
          <w:p>
            <w:r>
              <w:rPr>
                <w:rFonts w:ascii="Calibri" w:hAnsi="Calibri"/>
                <w:sz w:val="22"/>
              </w:rPr>
              <w:t>$1.84–$1.87</w:t>
            </w:r>
          </w:p>
        </w:tc>
        <w:tc>
          <w:tcPr>
            <w:tcW w:type="dxa" w:w="1728"/>
          </w:tcPr>
          <w:p>
            <w:r>
              <w:rPr>
                <w:rFonts w:ascii="Calibri" w:hAnsi="Calibri"/>
                <w:sz w:val="22"/>
              </w:rPr>
              <w:t>—</w:t>
            </w:r>
          </w:p>
        </w:tc>
        <w:tc>
          <w:tcPr>
            <w:tcW w:type="dxa" w:w="1728"/>
          </w:tcPr>
          <w:p>
            <w:r>
              <w:rPr>
                <w:rFonts w:ascii="Calibri" w:hAnsi="Calibri"/>
                <w:sz w:val="22"/>
              </w:rPr>
              <w:t>N/A (not separately tracked)</w:t>
            </w:r>
          </w:p>
        </w:tc>
        <w:tc>
          <w:tcPr>
            <w:tcW w:type="dxa" w:w="1728"/>
          </w:tcPr>
          <w:p>
            <w:r>
              <w:rPr>
                <w:rFonts w:ascii="Calibri" w:hAnsi="Calibri"/>
                <w:sz w:val="22"/>
              </w:rPr>
              <w:t>Q4 expected to step up to low-to-mid $1.90s, driven by contractual occupancy growth</w:t>
            </w:r>
          </w:p>
        </w:tc>
      </w:tr>
      <w:tr>
        <w:tc>
          <w:tcPr>
            <w:tcW w:type="dxa" w:w="1728"/>
          </w:tcPr>
          <w:p>
            <w:r>
              <w:rPr>
                <w:rFonts w:ascii="Calibri" w:hAnsi="Calibri"/>
                <w:sz w:val="22"/>
              </w:rPr>
              <w:t>FY2026 Comparable POI Growth</w:t>
            </w:r>
          </w:p>
        </w:tc>
        <w:tc>
          <w:tcPr>
            <w:tcW w:type="dxa" w:w="1728"/>
          </w:tcPr>
          <w:p>
            <w:r>
              <w:rPr>
                <w:rFonts w:ascii="Calibri" w:hAnsi="Calibri"/>
                <w:sz w:val="22"/>
              </w:rPr>
              <w:t>3.125%–3.625% (raised from 3.0%–3.5%)</w:t>
            </w:r>
          </w:p>
        </w:tc>
        <w:tc>
          <w:tcPr>
            <w:tcW w:type="dxa" w:w="1728"/>
          </w:tcPr>
          <w:p>
            <w:r>
              <w:rPr>
                <w:rFonts w:ascii="Calibri" w:hAnsi="Calibri"/>
                <w:sz w:val="22"/>
              </w:rPr>
              <w:t>—</w:t>
            </w:r>
          </w:p>
        </w:tc>
        <w:tc>
          <w:tcPr>
            <w:tcW w:type="dxa" w:w="1728"/>
          </w:tcPr>
          <w:p>
            <w:r>
              <w:rPr>
                <w:rFonts w:ascii="Calibri" w:hAnsi="Calibri"/>
                <w:sz w:val="22"/>
              </w:rPr>
              <w:t>3.05%</w:t>
            </w:r>
          </w:p>
        </w:tc>
        <w:tc>
          <w:tcPr>
            <w:tcW w:type="dxa" w:w="1728"/>
          </w:tcPr>
          <w:p>
            <w:r>
              <w:rPr>
                <w:rFonts w:ascii="Calibri" w:hAnsi="Calibri"/>
                <w:sz w:val="22"/>
              </w:rPr>
              <w:t>Q2/Q3 guided to dip to “closer to 2%” GAAP; Q4 expected to rebound to 3.5%–4.0%</w:t>
            </w:r>
          </w:p>
        </w:tc>
      </w:tr>
      <w:tr>
        <w:tc>
          <w:tcPr>
            <w:tcW w:type="dxa" w:w="1728"/>
          </w:tcPr>
          <w:p>
            <w:r>
              <w:rPr>
                <w:rFonts w:ascii="Calibri" w:hAnsi="Calibri"/>
                <w:sz w:val="22"/>
              </w:rPr>
              <w:t>Commercial Occupancy (Year-End)</w:t>
            </w:r>
          </w:p>
        </w:tc>
        <w:tc>
          <w:tcPr>
            <w:tcW w:type="dxa" w:w="1728"/>
          </w:tcPr>
          <w:p>
            <w:r>
              <w:rPr>
                <w:rFonts w:ascii="Calibri" w:hAnsi="Calibri"/>
                <w:sz w:val="22"/>
              </w:rPr>
              <w:t>Mid-to-upper 94% range by Q4</w:t>
            </w:r>
          </w:p>
        </w:tc>
        <w:tc>
          <w:tcPr>
            <w:tcW w:type="dxa" w:w="1728"/>
          </w:tcPr>
          <w:p>
            <w:r>
              <w:rPr>
                <w:rFonts w:ascii="Calibri" w:hAnsi="Calibri"/>
                <w:sz w:val="22"/>
              </w:rPr>
              <w:t>—</w:t>
            </w:r>
          </w:p>
        </w:tc>
        <w:tc>
          <w:tcPr>
            <w:tcW w:type="dxa" w:w="1728"/>
          </w:tcPr>
          <w:p>
            <w:r>
              <w:rPr>
                <w:rFonts w:ascii="Calibri" w:hAnsi="Calibri"/>
                <w:sz w:val="22"/>
              </w:rPr>
              <w:t>94.2% (FY2026 avg.)</w:t>
            </w:r>
          </w:p>
        </w:tc>
        <w:tc>
          <w:tcPr>
            <w:tcW w:type="dxa" w:w="1728"/>
          </w:tcPr>
          <w:p>
            <w:r>
              <w:rPr>
                <w:rFonts w:ascii="Calibri" w:hAnsi="Calibri"/>
                <w:sz w:val="22"/>
              </w:rPr>
              <w:t>Q2/Q3 expected to hold ~93.8%; spike in Q4 powered by already-signed leases</w:t>
            </w:r>
          </w:p>
        </w:tc>
      </w:tr>
      <w:tr>
        <w:tc>
          <w:tcPr>
            <w:tcW w:type="dxa" w:w="1728"/>
          </w:tcPr>
          <w:p>
            <w:r>
              <w:rPr>
                <w:rFonts w:ascii="Calibri" w:hAnsi="Calibri"/>
                <w:sz w:val="22"/>
              </w:rPr>
              <w:t>Term Fees (FY2026)</w:t>
            </w:r>
          </w:p>
        </w:tc>
        <w:tc>
          <w:tcPr>
            <w:tcW w:type="dxa" w:w="1728"/>
          </w:tcPr>
          <w:p>
            <w:r>
              <w:rPr>
                <w:rFonts w:ascii="Calibri" w:hAnsi="Calibri"/>
                <w:sz w:val="22"/>
              </w:rPr>
              <w:t>$8M–$9M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 Raised at Q1 earnings from prior range; strong leasing leverage over underperforming tenants</w:t>
            </w:r>
          </w:p>
        </w:tc>
      </w:tr>
      <w:tr>
        <w:tc>
          <w:tcPr>
            <w:tcW w:type="dxa" w:w="1728"/>
          </w:tcPr>
          <w:p>
            <w:r>
              <w:rPr>
                <w:rFonts w:ascii="Calibri" w:hAnsi="Calibri"/>
                <w:sz w:val="22"/>
              </w:rPr>
              <w:t>Incremental Redevelopment POI (FY2026)</w:t>
            </w:r>
          </w:p>
        </w:tc>
        <w:tc>
          <w:tcPr>
            <w:tcW w:type="dxa" w:w="1728"/>
          </w:tcPr>
          <w:p>
            <w:r>
              <w:rPr>
                <w:rFonts w:ascii="Calibri" w:hAnsi="Calibri"/>
                <w:sz w:val="22"/>
              </w:rPr>
              <w:t>$14M–$15M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 Raised at Q1 earnings; tenants opening sooner than forecast</w:t>
            </w:r>
          </w:p>
        </w:tc>
      </w:tr>
    </w:tbl>
    <w:p>
      <w:r>
        <w:rPr>
          <w:rFonts w:ascii="Calibri" w:hAnsi="Calibri"/>
          <w:i/>
          <w:color w:val="525866"/>
          <w:sz w:val="22"/>
        </w:rPr>
        <w:t>Source: FRT Q1 2026 Earnings Call (May 1, 2026); FRT 2026 Investor Day (May 21,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both Q2 and FY2026 Core FFO have been remarkably stable since the Q1 print — drifting only ~$0.001 lower over 12 weeks — indicating the Street has fully absorbed guidance and is not pricing in incremental upside or downside. The gap between consensus same-store NOI (4.5%) and management guidance (“closer to 2%”) is the most notable divergence and represents the key risk to the downside if management’s more conservative view proves correct.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(5/8/26, Post-Q1 Baseline)</w:t>
            </w:r>
          </w:p>
        </w:tc>
        <w:tc>
          <w:tcPr>
            <w:tcW w:type="dxa" w:w="1080"/>
            <w:shd w:val="clear" w:color="auto" w:fill="3B4259"/>
          </w:tcPr>
          <w:p>
            <w:r>
              <w:rPr>
                <w:rFonts w:ascii="Calibri" w:hAnsi="Calibri"/>
                <w:b/>
                <w:color w:val="FFFFFF"/>
                <w:sz w:val="22"/>
              </w:rPr>
              <w:t>Current Estimate (7/30/26)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Mid</w:t>
            </w:r>
          </w:p>
        </w:tc>
      </w:tr>
      <w:tr>
        <w:tc>
          <w:tcPr>
            <w:tcW w:type="dxa" w:w="1080"/>
          </w:tcPr>
          <w:p>
            <w:r>
              <w:rPr>
                <w:rFonts w:ascii="Calibri" w:hAnsi="Calibri"/>
                <w:sz w:val="22"/>
              </w:rPr>
              <w:t>Core FFO/Share – Q2 2026</w:t>
            </w:r>
          </w:p>
        </w:tc>
        <w:tc>
          <w:tcPr>
            <w:tcW w:type="dxa" w:w="1080"/>
          </w:tcPr>
          <w:p>
            <w:r>
              <w:rPr>
                <w:rFonts w:ascii="Calibri" w:hAnsi="Calibri"/>
                <w:sz w:val="22"/>
              </w:rPr>
              <w:t>$1.855</w:t>
            </w:r>
          </w:p>
        </w:tc>
        <w:tc>
          <w:tcPr>
            <w:tcW w:type="dxa" w:w="1080"/>
          </w:tcPr>
          <w:p>
            <w:r>
              <w:rPr>
                <w:rFonts w:ascii="Calibri" w:hAnsi="Calibri"/>
                <w:sz w:val="22"/>
              </w:rPr>
              <w:t>$1.856</w:t>
            </w:r>
          </w:p>
        </w:tc>
        <w:tc>
          <w:tcPr>
            <w:tcW w:type="dxa" w:w="1080"/>
          </w:tcPr>
          <w:p>
            <w:r>
              <w:rPr>
                <w:rFonts w:ascii="Calibri" w:hAnsi="Calibri"/>
                <w:sz w:val="22"/>
              </w:rPr>
              <w:t>+0.1%</w:t>
            </w:r>
          </w:p>
        </w:tc>
        <w:tc>
          <w:tcPr>
            <w:tcW w:type="dxa" w:w="1080"/>
          </w:tcPr>
          <w:p>
            <w:r>
              <w:rPr>
                <w:rFonts w:ascii="Calibri" w:hAnsi="Calibri"/>
                <w:sz w:val="22"/>
              </w:rPr>
              <w:t>$1.83–$1.86</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vs. $1.845 mid</w:t>
            </w:r>
          </w:p>
        </w:tc>
      </w:tr>
      <w:tr>
        <w:tc>
          <w:tcPr>
            <w:tcW w:type="dxa" w:w="1080"/>
          </w:tcPr>
          <w:p>
            <w:r>
              <w:rPr>
                <w:rFonts w:ascii="Calibri" w:hAnsi="Calibri"/>
                <w:sz w:val="22"/>
              </w:rPr>
              <w:t>Core FFO/Share – FY2026</w:t>
            </w:r>
          </w:p>
        </w:tc>
        <w:tc>
          <w:tcPr>
            <w:tcW w:type="dxa" w:w="1080"/>
          </w:tcPr>
          <w:p>
            <w:r>
              <w:rPr>
                <w:rFonts w:ascii="Calibri" w:hAnsi="Calibri"/>
                <w:sz w:val="22"/>
              </w:rPr>
              <w:t>$7.525</w:t>
            </w:r>
          </w:p>
        </w:tc>
        <w:tc>
          <w:tcPr>
            <w:tcW w:type="dxa" w:w="1080"/>
          </w:tcPr>
          <w:p>
            <w:r>
              <w:rPr>
                <w:rFonts w:ascii="Calibri" w:hAnsi="Calibri"/>
                <w:sz w:val="22"/>
              </w:rPr>
              <w:t>$7.525</w:t>
            </w:r>
          </w:p>
        </w:tc>
        <w:tc>
          <w:tcPr>
            <w:tcW w:type="dxa" w:w="1080"/>
          </w:tcPr>
          <w:p>
            <w:r>
              <w:rPr>
                <w:rFonts w:ascii="Calibri" w:hAnsi="Calibri"/>
                <w:sz w:val="22"/>
              </w:rPr>
              <w:t>Flat</w:t>
            </w:r>
          </w:p>
        </w:tc>
        <w:tc>
          <w:tcPr>
            <w:tcW w:type="dxa" w:w="1080"/>
          </w:tcPr>
          <w:p>
            <w:r>
              <w:rPr>
                <w:rFonts w:ascii="Calibri" w:hAnsi="Calibri"/>
                <w:sz w:val="22"/>
              </w:rPr>
              <w:t>$7.46–$7.55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vs. $7.505 mid</w:t>
            </w:r>
          </w:p>
        </w:tc>
      </w:tr>
      <w:tr>
        <w:tc>
          <w:tcPr>
            <w:tcW w:type="dxa" w:w="1080"/>
          </w:tcPr>
          <w:p>
            <w:r>
              <w:rPr>
                <w:rFonts w:ascii="Calibri" w:hAnsi="Calibri"/>
                <w:sz w:val="22"/>
              </w:rPr>
              <w:t>Same-Store NOI Growth – Q2 2026</w:t>
            </w:r>
          </w:p>
        </w:tc>
        <w:tc>
          <w:tcPr>
            <w:tcW w:type="dxa" w:w="1080"/>
          </w:tcPr>
          <w:p>
            <w:r>
              <w:rPr>
                <w:rFonts w:ascii="Calibri" w:hAnsi="Calibri"/>
                <w:sz w:val="22"/>
              </w:rPr>
              <w:t>4.54%</w:t>
            </w:r>
          </w:p>
        </w:tc>
        <w:tc>
          <w:tcPr>
            <w:tcW w:type="dxa" w:w="1080"/>
          </w:tcPr>
          <w:p>
            <w:r>
              <w:rPr>
                <w:rFonts w:ascii="Calibri" w:hAnsi="Calibri"/>
                <w:sz w:val="22"/>
              </w:rPr>
              <w:t>4.55%</w:t>
            </w:r>
          </w:p>
        </w:tc>
        <w:tc>
          <w:tcPr>
            <w:tcW w:type="dxa" w:w="1080"/>
          </w:tcPr>
          <w:p>
            <w:r>
              <w:rPr>
                <w:rFonts w:ascii="Calibri" w:hAnsi="Calibri"/>
                <w:sz w:val="22"/>
              </w:rPr>
              <w:t>+0.1%</w:t>
            </w:r>
          </w:p>
        </w:tc>
        <w:tc>
          <w:tcPr>
            <w:tcW w:type="dxa" w:w="1080"/>
          </w:tcPr>
          <w:p>
            <w:r>
              <w:rPr>
                <w:rFonts w:ascii="Calibri" w:hAnsi="Calibri"/>
                <w:sz w:val="22"/>
              </w:rPr>
              <w:t>“Closer to 2%” GAAP</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b/>
                <w:color w:val="E5484D"/>
                <w:sz w:val="22"/>
              </w:rPr>
              <w:t>~250 bps above guidance mid</w:t>
            </w:r>
          </w:p>
        </w:tc>
      </w:tr>
      <w:tr>
        <w:tc>
          <w:tcPr>
            <w:tcW w:type="dxa" w:w="1080"/>
          </w:tcPr>
          <w:p>
            <w:r>
              <w:rPr>
                <w:rFonts w:ascii="Calibri" w:hAnsi="Calibri"/>
                <w:sz w:val="22"/>
              </w:rPr>
              <w:t>Same-Store NOI Growth – FY2026</w:t>
            </w:r>
          </w:p>
        </w:tc>
        <w:tc>
          <w:tcPr>
            <w:tcW w:type="dxa" w:w="1080"/>
          </w:tcPr>
          <w:p>
            <w:r>
              <w:rPr>
                <w:rFonts w:ascii="Calibri" w:hAnsi="Calibri"/>
                <w:sz w:val="22"/>
              </w:rPr>
              <w:t>3.05%</w:t>
            </w:r>
          </w:p>
        </w:tc>
        <w:tc>
          <w:tcPr>
            <w:tcW w:type="dxa" w:w="1080"/>
          </w:tcPr>
          <w:p>
            <w:r>
              <w:rPr>
                <w:rFonts w:ascii="Calibri" w:hAnsi="Calibri"/>
                <w:sz w:val="22"/>
              </w:rPr>
              <w:t>3.05%</w:t>
            </w:r>
          </w:p>
        </w:tc>
        <w:tc>
          <w:tcPr>
            <w:tcW w:type="dxa" w:w="1080"/>
          </w:tcPr>
          <w:p>
            <w:r>
              <w:rPr>
                <w:rFonts w:ascii="Calibri" w:hAnsi="Calibri"/>
                <w:sz w:val="22"/>
              </w:rPr>
              <w:t>Flat</w:t>
            </w:r>
          </w:p>
        </w:tc>
        <w:tc>
          <w:tcPr>
            <w:tcW w:type="dxa" w:w="1080"/>
          </w:tcPr>
          <w:p>
            <w:r>
              <w:rPr>
                <w:rFonts w:ascii="Calibri" w:hAnsi="Calibri"/>
                <w:sz w:val="22"/>
              </w:rPr>
              <w:t>3.125%–3.625%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b/>
                <w:color w:val="E5484D"/>
                <w:sz w:val="22"/>
              </w:rPr>
              <w:t>-32 bps vs. 3.375% mid</w:t>
            </w:r>
          </w:p>
        </w:tc>
      </w:tr>
      <w:tr>
        <w:tc>
          <w:tcPr>
            <w:tcW w:type="dxa" w:w="1080"/>
          </w:tcPr>
          <w:p>
            <w:r>
              <w:rPr>
                <w:rFonts w:ascii="Calibri" w:hAnsi="Calibri"/>
                <w:sz w:val="22"/>
              </w:rPr>
              <w:t>Commercial Occupancy – Q2 2026</w:t>
            </w:r>
          </w:p>
        </w:tc>
        <w:tc>
          <w:tcPr>
            <w:tcW w:type="dxa" w:w="1080"/>
          </w:tcPr>
          <w:p>
            <w:r>
              <w:rPr>
                <w:rFonts w:ascii="Calibri" w:hAnsi="Calibri"/>
                <w:sz w:val="22"/>
              </w:rPr>
              <w:t>93.87%</w:t>
            </w:r>
          </w:p>
        </w:tc>
        <w:tc>
          <w:tcPr>
            <w:tcW w:type="dxa" w:w="1080"/>
          </w:tcPr>
          <w:p>
            <w:r>
              <w:rPr>
                <w:rFonts w:ascii="Calibri" w:hAnsi="Calibri"/>
                <w:sz w:val="22"/>
              </w:rPr>
              <w:t>93.79%</w:t>
            </w:r>
          </w:p>
        </w:tc>
        <w:tc>
          <w:tcPr>
            <w:tcW w:type="dxa" w:w="1080"/>
          </w:tcPr>
          <w:p>
            <w:r>
              <w:rPr>
                <w:rFonts w:ascii="Calibri" w:hAnsi="Calibri"/>
                <w:sz w:val="22"/>
              </w:rPr>
              <w:t>-0.1%</w:t>
            </w:r>
          </w:p>
        </w:tc>
        <w:tc>
          <w:tcPr>
            <w:tcW w:type="dxa" w:w="1080"/>
          </w:tcPr>
          <w:p>
            <w:r>
              <w:rPr>
                <w:rFonts w:ascii="Calibri" w:hAnsi="Calibri"/>
                <w:sz w:val="22"/>
              </w:rPr>
              <w:t>Mid-to-upper 93%</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In-line</w:t>
            </w:r>
          </w:p>
        </w:tc>
      </w:tr>
    </w:tbl>
    <w:p>
      <w:r>
        <w:rPr>
          <w:rFonts w:ascii="Calibri" w:hAnsi="Calibri"/>
          <w:color w:val="525866"/>
          <w:sz w:val="22"/>
        </w:rPr>
        <w:t>The most notable divergence is on same-store NOI: consensus at 4.5% for Q2 is roughly 250 bps above management’s explicit guidance of “closer to 2%” on a GAAP basis. This gap likely reflects the Street anchoring to the strong Q1 print (4.7%) rather than management’s forward commentary. If management’s guidance proves accurate, same-store NOI will be a headline miss — though FFO may still land in-line given the metric’s lower direct impact on reported earnings.</w:t>
      </w:r>
    </w:p>
    <w:p>
      <w:r>
        <w:rPr>
          <w:rFonts w:ascii="Calibri" w:hAnsi="Calibri"/>
          <w:i/>
          <w:color w:val="525866"/>
          <w:sz w:val="22"/>
        </w:rPr>
        <w:t>Source: Visible Alpha Consensus and Actuals Data; FRT Q1 2026 Earnings Call (May 1,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FRT has outperformed both the REIT sector (IYR) and the S&amp;P 500 since Q1 earnings, driven almost entirely by multiple expansion (EV/EBITDA re-rated from ~15.9x to ~17.9x over 6 months) rather than estimate revisions, which have been flat. The stock’s +7.6% gain since May 1 vs. IYR’s +4.6% and SPY’s +2.9% reflects growing investor confidence in the Q4 contractual step-up and 2027 acceleration narrative.</w:t>
      </w:r>
    </w:p>
    <w:p>
      <w:r>
        <w:rPr>
          <w:i/>
        </w:rPr>
        <w:t>[Image not found: gs://implied-user-data-prod/conversations/yhua@lumosity.ai/projects/_default/history/c2de6f48-3b97-433e-8bec-fbc3685bf2c4/plotly_charts/frt_stock_performance.json]</w:t>
      </w:r>
    </w:p>
    <w:p>
      <w:pPr>
        <w:jc w:val="center"/>
      </w:pPr>
      <w:r>
        <w:rPr>
          <w:i/>
          <w:color w:val="666666"/>
          <w:sz w:val="18"/>
        </w:rPr>
        <w:t>FRT vs. IYR (REIT ETF) vs. S&amp;P 500 — Indexed to 100 at May 1, 2026 (Q1 2026 Earnings Date). Source: Yahoo Finance.</w:t>
      </w:r>
    </w:p>
    <w:p>
      <w:r>
        <w:rPr>
          <w:rFonts w:ascii="Calibri" w:hAnsi="Calibri"/>
          <w:b/>
          <w:color w:val="525866"/>
          <w:sz w:val="22"/>
        </w:rPr>
        <w:t xml:space="preserve">Note: </w:t>
      </w:r>
      <w:r>
        <w:rPr>
          <w:rFonts w:ascii="Calibri" w:hAnsi="Calibri"/>
          <w:color w:val="525866"/>
          <w:sz w:val="22"/>
        </w:rPr>
        <w:t>Chart uses IYR (iShares U.S. Real Estate ETF) as the sector benchmark, which is appropriate for FRT’s retail REIT sub-sector. All three series indexed to 100 at May 1, 2026 (Q1 2026 earnings date). FRT closed at $115.32 on May 1 and $125.78 on July 29, a gain of +9.1% over the period. IYR gained +4.5% (102.36 → 107.01) and SPY gained +1.2% (720.65 → 729.46) over the same window.</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Series</w:t>
            </w:r>
          </w:p>
        </w:tc>
        <w:tc>
          <w:tcPr>
            <w:tcW w:type="dxa" w:w="2160"/>
            <w:shd w:val="clear" w:color="auto" w:fill="3B4259"/>
          </w:tcPr>
          <w:p>
            <w:r>
              <w:rPr>
                <w:rFonts w:ascii="Calibri" w:hAnsi="Calibri"/>
                <w:b/>
                <w:color w:val="FFFFFF"/>
                <w:sz w:val="22"/>
              </w:rPr>
              <w:t>May 1, 2026 Close</w:t>
            </w:r>
          </w:p>
        </w:tc>
        <w:tc>
          <w:tcPr>
            <w:tcW w:type="dxa" w:w="2160"/>
            <w:shd w:val="clear" w:color="auto" w:fill="3B4259"/>
          </w:tcPr>
          <w:p>
            <w:r>
              <w:rPr>
                <w:rFonts w:ascii="Calibri" w:hAnsi="Calibri"/>
                <w:b/>
                <w:color w:val="FFFFFF"/>
                <w:sz w:val="22"/>
              </w:rPr>
              <w:t>July 29, 2026 Close</w:t>
            </w:r>
          </w:p>
        </w:tc>
        <w:tc>
          <w:tcPr>
            <w:tcW w:type="dxa" w:w="2160"/>
            <w:shd w:val="clear" w:color="auto" w:fill="3B4259"/>
          </w:tcPr>
          <w:p>
            <w:r>
              <w:rPr>
                <w:rFonts w:ascii="Calibri" w:hAnsi="Calibri"/>
                <w:b/>
                <w:color w:val="FFFFFF"/>
                <w:sz w:val="22"/>
              </w:rPr>
              <w:t>Return Since Q1 Earnings</w:t>
            </w:r>
          </w:p>
        </w:tc>
      </w:tr>
      <w:tr>
        <w:tc>
          <w:tcPr>
            <w:tcW w:type="dxa" w:w="2160"/>
          </w:tcPr>
          <w:p>
            <w:r>
              <w:rPr>
                <w:rFonts w:ascii="Calibri" w:hAnsi="Calibri"/>
                <w:sz w:val="22"/>
              </w:rPr>
              <w:t>FRT</w:t>
            </w:r>
          </w:p>
        </w:tc>
        <w:tc>
          <w:tcPr>
            <w:tcW w:type="dxa" w:w="2160"/>
          </w:tcPr>
          <w:p>
            <w:r>
              <w:rPr>
                <w:rFonts w:ascii="Calibri" w:hAnsi="Calibri"/>
                <w:sz w:val="22"/>
              </w:rPr>
              <w:t>$115.32</w:t>
            </w:r>
          </w:p>
        </w:tc>
        <w:tc>
          <w:tcPr>
            <w:tcW w:type="dxa" w:w="2160"/>
          </w:tcPr>
          <w:p>
            <w:r>
              <w:rPr>
                <w:rFonts w:ascii="Calibri" w:hAnsi="Calibri"/>
                <w:sz w:val="22"/>
              </w:rPr>
              <w:t>$125.78</w:t>
            </w:r>
          </w:p>
        </w:tc>
        <w:tc>
          <w:tcPr>
            <w:tcW w:type="dxa" w:w="2160"/>
          </w:tcPr>
          <w:p>
            <w:r>
              <w:rPr>
                <w:rFonts w:ascii="Calibri" w:hAnsi="Calibri"/>
                <w:b/>
                <w:color w:val="30A46C"/>
                <w:sz w:val="22"/>
              </w:rPr>
              <w:t>+9.1%</w:t>
            </w:r>
          </w:p>
        </w:tc>
      </w:tr>
      <w:tr>
        <w:tc>
          <w:tcPr>
            <w:tcW w:type="dxa" w:w="2160"/>
          </w:tcPr>
          <w:p>
            <w:r>
              <w:rPr>
                <w:rFonts w:ascii="Calibri" w:hAnsi="Calibri"/>
                <w:sz w:val="22"/>
              </w:rPr>
              <w:t>IYR (REIT ETF)</w:t>
            </w:r>
          </w:p>
        </w:tc>
        <w:tc>
          <w:tcPr>
            <w:tcW w:type="dxa" w:w="2160"/>
          </w:tcPr>
          <w:p>
            <w:r>
              <w:rPr>
                <w:rFonts w:ascii="Calibri" w:hAnsi="Calibri"/>
                <w:sz w:val="22"/>
              </w:rPr>
              <w:t>$102.36</w:t>
            </w:r>
          </w:p>
        </w:tc>
        <w:tc>
          <w:tcPr>
            <w:tcW w:type="dxa" w:w="2160"/>
          </w:tcPr>
          <w:p>
            <w:r>
              <w:rPr>
                <w:rFonts w:ascii="Calibri" w:hAnsi="Calibri"/>
                <w:sz w:val="22"/>
              </w:rPr>
              <w:t>$107.01</w:t>
            </w:r>
          </w:p>
        </w:tc>
        <w:tc>
          <w:tcPr>
            <w:tcW w:type="dxa" w:w="2160"/>
          </w:tcPr>
          <w:p>
            <w:r>
              <w:rPr>
                <w:rFonts w:ascii="Calibri" w:hAnsi="Calibri"/>
                <w:sz w:val="22"/>
              </w:rPr>
              <w:t>+4.5%</w:t>
            </w:r>
          </w:p>
        </w:tc>
      </w:tr>
      <w:tr>
        <w:tc>
          <w:tcPr>
            <w:tcW w:type="dxa" w:w="2160"/>
          </w:tcPr>
          <w:p>
            <w:r>
              <w:rPr>
                <w:rFonts w:ascii="Calibri" w:hAnsi="Calibri"/>
                <w:sz w:val="22"/>
              </w:rPr>
              <w:t>S&amp;P 500 (SPY)</w:t>
            </w:r>
          </w:p>
        </w:tc>
        <w:tc>
          <w:tcPr>
            <w:tcW w:type="dxa" w:w="2160"/>
          </w:tcPr>
          <w:p>
            <w:r>
              <w:rPr>
                <w:rFonts w:ascii="Calibri" w:hAnsi="Calibri"/>
                <w:sz w:val="22"/>
              </w:rPr>
              <w:t>$720.65</w:t>
            </w:r>
          </w:p>
        </w:tc>
        <w:tc>
          <w:tcPr>
            <w:tcW w:type="dxa" w:w="2160"/>
          </w:tcPr>
          <w:p>
            <w:r>
              <w:rPr>
                <w:rFonts w:ascii="Calibri" w:hAnsi="Calibri"/>
                <w:sz w:val="22"/>
              </w:rPr>
              <w:t>$729.46</w:t>
            </w:r>
          </w:p>
        </w:tc>
        <w:tc>
          <w:tcPr>
            <w:tcW w:type="dxa" w:w="2160"/>
          </w:tcPr>
          <w:p>
            <w:r>
              <w:rPr>
                <w:rFonts w:ascii="Calibri" w:hAnsi="Calibri"/>
                <w:sz w:val="22"/>
              </w:rPr>
              <w:t>+1.2%</w:t>
            </w:r>
          </w:p>
        </w:tc>
      </w:tr>
    </w:tbl>
    <w:p>
      <w:r>
        <w:rPr>
          <w:rFonts w:ascii="Calibri" w:hAnsi="Calibri"/>
          <w:b/>
          <w:color w:val="525866"/>
          <w:sz w:val="22"/>
        </w:rPr>
        <w:t xml:space="preserve">Key events since Q1 earnings: </w:t>
      </w:r>
      <w:r>
        <w:rPr>
          <w:rFonts w:ascii="Calibri" w:hAnsi="Calibri"/>
          <w:color w:val="525866"/>
          <w:sz w:val="22"/>
        </w:rPr>
        <w:t>The stock’s most notable move was a sharp rally around the May 21 Investor Day, where management presented a multi-year FFO growth framework of 5%–7.5% for 2027–2028 and a $1.4B acquisition pipeline. The stock also benefited from broader REIT sector strength in mid-July as rate expectations shifted. The stock has given back a small amount in the final days of July ahead of the print.</w:t>
      </w:r>
    </w:p>
    <w:p>
      <w:r>
        <w:rPr>
          <w:rFonts w:ascii="Calibri" w:hAnsi="Calibri"/>
          <w:i/>
          <w:color w:val="525866"/>
          <w:sz w:val="22"/>
        </w:rPr>
        <w:t>Source: Yahoo Finance (Stock Price Data).</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was the May 21 Investor Day, where management laid out a compelling multi-year growth framework and a $1.4B acquisition pipeline — this was the primary catalyst for the stock’s re-rating. No negative developments have emerged; the macro backdrop (K-shaped consumer, low retail supply) remains supportive.</w:t>
      </w:r>
    </w:p>
    <w:p>
      <w:pPr>
        <w:pStyle w:val="ListBullet"/>
        <w:ind w:left="360" w:hanging="360"/>
      </w:pPr>
      <w:r>
        <w:rPr>
          <w:rFonts w:ascii="Calibri" w:hAnsi="Calibri"/>
          <w:b/>
          <w:color w:val="525866"/>
          <w:sz w:val="22"/>
        </w:rPr>
        <w:t>May 21, 2026 — Investor Day (Most Important):</w:t>
      </w:r>
      <w:r>
        <w:rPr>
          <w:rFonts w:ascii="Calibri" w:hAnsi="Calibri"/>
          <w:color w:val="525866"/>
          <w:sz w:val="22"/>
        </w:rPr>
        <w:t xml:space="preserve"> Management presented a multi-year growth framework projecting 5%–7.5% FFO growth and 7%–10% AFFO growth for 2027–2028. Highlighted a $1.4B acquisition pipeline (30% off-market), $1.5B capital recycling pool, and plans to enter 3–5 new markets. Reaffirmed FY2026 FFO guidance of $7.46–$7.55. </w:t>
      </w:r>
      <w:r>
        <w:rPr>
          <w:rFonts w:ascii="Calibri" w:hAnsi="Calibri"/>
          <w:b/>
          <w:i/>
          <w:color w:val="525866"/>
          <w:sz w:val="22"/>
        </w:rPr>
        <w:t>Implication: Removed uncertainty about the growth runway beyond 2026; primary driver of the stock’s re-rating.</w:t>
      </w:r>
    </w:p>
    <w:p>
      <w:pPr>
        <w:pStyle w:val="ListBullet"/>
        <w:ind w:left="360" w:hanging="360"/>
      </w:pPr>
      <w:r>
        <w:rPr>
          <w:rFonts w:ascii="Calibri" w:hAnsi="Calibri"/>
          <w:b/>
          <w:color w:val="525866"/>
          <w:sz w:val="22"/>
        </w:rPr>
        <w:t>May 1, 2026 — Q1 2026 Earnings Beat-and-Raise:</w:t>
      </w:r>
      <w:r>
        <w:rPr>
          <w:rFonts w:ascii="Calibri" w:hAnsi="Calibri"/>
          <w:color w:val="525866"/>
          <w:sz w:val="22"/>
        </w:rPr>
        <w:t xml:space="preserve"> Core FFO of $1.88/share beat consensus by ~$0.06 (3.3%). FY2026 guidance raised to $7.46–$7.55 from $7.43–$7.51. Record Q1 leasing volume (649K sq ft, highest Q1 ever). Comparable POI growth of 4.7% despite severe winter weather. </w:t>
      </w:r>
      <w:r>
        <w:rPr>
          <w:rFonts w:ascii="Calibri" w:hAnsi="Calibri"/>
          <w:b/>
          <w:i/>
          <w:color w:val="525866"/>
          <w:sz w:val="22"/>
        </w:rPr>
        <w:t>Implication: Set a high operational bar for Q2 but also flagged known Q2/Q3 headwinds (refinancing drag, Blair lease-up).</w:t>
      </w:r>
    </w:p>
    <w:p>
      <w:pPr>
        <w:pStyle w:val="ListBullet"/>
        <w:ind w:left="360" w:hanging="360"/>
      </w:pPr>
      <w:r>
        <w:rPr>
          <w:rFonts w:ascii="Calibri" w:hAnsi="Calibri"/>
          <w:b/>
          <w:color w:val="525866"/>
          <w:sz w:val="22"/>
        </w:rPr>
        <w:t>Post-Q1 2026 — Credit Facility Recast:</w:t>
      </w:r>
      <w:r>
        <w:rPr>
          <w:rFonts w:ascii="Calibri" w:hAnsi="Calibri"/>
          <w:color w:val="525866"/>
          <w:sz w:val="22"/>
        </w:rPr>
        <w:t xml:space="preserve"> Revolving credit facility upsized to $1.4B, term extended to April 2030 (with options to 2031), spread reduced by 5 bps to 72.5 bps over SOFR. Only $50M of remaining loan maturities through year-end 2026. </w:t>
      </w:r>
      <w:r>
        <w:rPr>
          <w:rFonts w:ascii="Calibri" w:hAnsi="Calibri"/>
          <w:b/>
          <w:i/>
          <w:color w:val="525866"/>
          <w:sz w:val="22"/>
        </w:rPr>
        <w:t>Implication: Removes near-term refinancing risk and reduces cost of capital.</w:t>
      </w:r>
    </w:p>
    <w:p>
      <w:pPr>
        <w:pStyle w:val="ListBullet"/>
        <w:ind w:left="360" w:hanging="360"/>
      </w:pPr>
      <w:r>
        <w:rPr>
          <w:rFonts w:ascii="Calibri" w:hAnsi="Calibri"/>
          <w:b/>
          <w:color w:val="525866"/>
          <w:sz w:val="22"/>
        </w:rPr>
        <w:t>Q1 2026 — Capital Recycling Activity:</w:t>
      </w:r>
      <w:r>
        <w:rPr>
          <w:rFonts w:ascii="Calibri" w:hAnsi="Calibri"/>
          <w:color w:val="525866"/>
          <w:sz w:val="22"/>
        </w:rPr>
        <w:t xml:space="preserve"> Closed $159M in asset sales (Misora apartments at Santana Row + Courthouse Shopping Center) at cap rates well inside 5%. Acquired Congressional North Shopping Center for $72M at 7% stabilized yield. Additional $66M of sales in process. Total 2025–2026 YTD sales of $540M at blended low-to-mid 5% cap rates. </w:t>
      </w:r>
      <w:r>
        <w:rPr>
          <w:rFonts w:ascii="Calibri" w:hAnsi="Calibri"/>
          <w:b/>
          <w:i/>
          <w:color w:val="525866"/>
          <w:sz w:val="22"/>
        </w:rPr>
        <w:t>Implication: Demonstrates active portfolio optimization and favorable spread between disposition and acquisition yields.</w:t>
      </w:r>
    </w:p>
    <w:p>
      <w:pPr>
        <w:pStyle w:val="ListBullet"/>
        <w:ind w:left="360" w:hanging="360"/>
      </w:pPr>
      <w:r>
        <w:rPr>
          <w:rFonts w:ascii="Calibri" w:hAnsi="Calibri"/>
          <w:b/>
          <w:color w:val="525866"/>
          <w:sz w:val="22"/>
        </w:rPr>
        <w:t>May 21, 2026 — Santana Row Lot 12 Development Update:</w:t>
      </w:r>
      <w:r>
        <w:rPr>
          <w:rFonts w:ascii="Calibri" w:hAnsi="Calibri"/>
          <w:color w:val="525866"/>
          <w:sz w:val="22"/>
        </w:rPr>
        <w:t xml:space="preserve"> 258-unit residential development well under construction, expected to deliver late 2027. Willow Grove (261 units) broke ground in early 2026, delivering 2028. Combined active pipeline of ~800 units expected to add $27M of new operating income once stabilized. </w:t>
      </w:r>
      <w:r>
        <w:rPr>
          <w:rFonts w:ascii="Calibri" w:hAnsi="Calibri"/>
          <w:b/>
          <w:i/>
          <w:color w:val="525866"/>
          <w:sz w:val="22"/>
        </w:rPr>
        <w:t>Implication: Provides multi-year embedded NOI growth from residential densification.</w:t>
      </w:r>
    </w:p>
    <w:p>
      <w:pPr>
        <w:pStyle w:val="ListBullet"/>
        <w:ind w:left="360" w:hanging="360"/>
      </w:pPr>
      <w:r>
        <w:rPr>
          <w:rFonts w:ascii="Calibri" w:hAnsi="Calibri"/>
          <w:b/>
          <w:color w:val="525866"/>
          <w:sz w:val="22"/>
        </w:rPr>
        <w:t>Q1 2026 — Blair at Bala Cynwyd Lease-Up:</w:t>
      </w:r>
      <w:r>
        <w:rPr>
          <w:rFonts w:ascii="Calibri" w:hAnsi="Calibri"/>
          <w:color w:val="525866"/>
          <w:sz w:val="22"/>
        </w:rPr>
        <w:t xml:space="preserve"> 34% leased as of Q1 earnings, ahead of projections for both timing and rate. Early lease-up will be a drag on Q2 FFO before turning positive later in the year as breakeven occupancy is reached. </w:t>
      </w:r>
      <w:r>
        <w:rPr>
          <w:rFonts w:ascii="Calibri" w:hAnsi="Calibri"/>
          <w:b/>
          <w:i/>
          <w:color w:val="525866"/>
          <w:sz w:val="22"/>
        </w:rPr>
        <w:t>Implication: Known Q2 headwind; watch for updated leasing progress on the Q2 call.</w:t>
      </w:r>
    </w:p>
    <w:p>
      <w:pPr>
        <w:pStyle w:val="ListBullet"/>
        <w:ind w:left="360" w:hanging="360"/>
      </w:pPr>
      <w:r>
        <w:rPr>
          <w:rFonts w:ascii="Calibri" w:hAnsi="Calibri"/>
          <w:b/>
          <w:color w:val="525866"/>
          <w:sz w:val="22"/>
        </w:rPr>
        <w:t>May 21, 2026 — Ancillary Income Growth Target:</w:t>
      </w:r>
      <w:r>
        <w:rPr>
          <w:rFonts w:ascii="Calibri" w:hAnsi="Calibri"/>
          <w:color w:val="525866"/>
          <w:sz w:val="22"/>
        </w:rPr>
        <w:t xml:space="preserve"> Management outlined a path to grow ancillary income from $30M currently to $50M by 2030, driven by brand sponsorships (Mercedes, Lexus, BMW, Dolce &amp; Gabbana) and optimized paid parking. </w:t>
      </w:r>
      <w:r>
        <w:rPr>
          <w:rFonts w:ascii="Calibri" w:hAnsi="Calibri"/>
          <w:b/>
          <w:i/>
          <w:color w:val="525866"/>
          <w:sz w:val="22"/>
        </w:rPr>
        <w:t>Implication: Incremental NOI source not fully reflected in consensus models.</w:t>
      </w:r>
    </w:p>
    <w:p>
      <w:pPr>
        <w:pStyle w:val="ListBullet"/>
        <w:ind w:left="360" w:hanging="360"/>
      </w:pPr>
      <w:r>
        <w:rPr>
          <w:rFonts w:ascii="Calibri" w:hAnsi="Calibri"/>
          <w:b/>
          <w:color w:val="525866"/>
          <w:sz w:val="22"/>
        </w:rPr>
        <w:t>Macro — K-Shaped Economy Tailwind:</w:t>
      </w:r>
      <w:r>
        <w:rPr>
          <w:rFonts w:ascii="Calibri" w:hAnsi="Calibri"/>
          <w:color w:val="525866"/>
          <w:sz w:val="22"/>
        </w:rPr>
        <w:t xml:space="preserve"> Management explicitly cited the K-shaped economy as a structural tailwind for FRT’s affluent-consumer-focused portfolio. Foot traffic up in Q1 and accelerating in April. Full-service restaurants averaging $723/sq ft in sales, fast casual $873/sq ft — both more than double national averages. </w:t>
      </w:r>
      <w:r>
        <w:rPr>
          <w:rFonts w:ascii="Calibri" w:hAnsi="Calibri"/>
          <w:b/>
          <w:i/>
          <w:color w:val="525866"/>
          <w:sz w:val="22"/>
        </w:rPr>
        <w:t>Implication: Differentiates FRT from lower-income-focused retail REITs in a period of consumer bifurcation.</w:t>
      </w:r>
    </w:p>
    <w:p>
      <w:r>
        <w:br w:type="page"/>
      </w:r>
    </w:p>
    <w:p>
      <w:pPr>
        <w:pStyle w:val="Heading2"/>
      </w:pPr>
      <w:r>
        <w:rPr>
          <w:rFonts w:ascii="Calibri" w:hAnsi="Calibri"/>
          <w:b/>
          <w:color w:val="3B4259"/>
          <w:sz w:val="28"/>
        </w:rPr>
        <w:t>7. Peer Commentary &amp; Q2 2026 Read-Through</w:t>
      </w:r>
    </w:p>
    <w:p>
      <w:r>
        <w:rPr>
          <w:rFonts w:ascii="Calibri" w:hAnsi="Calibri"/>
          <w:b/>
          <w:color w:val="525866"/>
          <w:sz w:val="22"/>
        </w:rPr>
        <w:t xml:space="preserve">Key Takeaway: </w:t>
      </w:r>
      <w:r>
        <w:rPr>
          <w:rFonts w:ascii="Calibri" w:hAnsi="Calibri"/>
          <w:color w:val="525866"/>
          <w:sz w:val="22"/>
        </w:rPr>
        <w:t>All three retail REIT peers that have reported Q2 2026 results (REG, KRG, PECO) delivered strong same-property NOI growth of 3.7–3.8% and raised full-year guidance — a broadly positive read-through for FRT. The common themes are healthy tenant demand, low supply, strong rent spreads, and better-than-expected bad debt. The key question is whether FRT’s comparable POI, guided to “closer to 2%” GAAP, will similarly surprise to the upside as peers did.</w:t>
      </w:r>
    </w:p>
    <w:p>
      <w:r>
        <w:rPr>
          <w:rFonts w:ascii="Calibri" w:hAnsi="Calibri"/>
          <w:b/>
          <w:i/>
          <w:color w:val="525866"/>
          <w:sz w:val="22"/>
        </w:rPr>
        <w:t xml:space="preserve">Note on peer selection: </w:t>
      </w:r>
      <w:r>
        <w:rPr>
          <w:rFonts w:ascii="Calibri" w:hAnsi="Calibri"/>
          <w:i/>
          <w:color w:val="525866"/>
          <w:sz w:val="22"/>
        </w:rPr>
        <w:t>Only Q2 2026 operational commentary and forward outlook from peers that have already reported is included below. Prior-quarter results and commentary about prior periods are excluded.</w:t>
      </w:r>
    </w:p>
    <w:p>
      <w:pPr>
        <w:pStyle w:val="Heading3"/>
      </w:pPr>
      <w:r>
        <w:rPr>
          <w:rFonts w:ascii="Calibri" w:hAnsi="Calibri"/>
          <w:b/>
          <w:color w:val="3B4259"/>
          <w:sz w:val="24"/>
        </w:rPr>
        <w:t>Regency Centers (REG) — Q2 2026 Earnings (Reported July 29–30, 2026)</w:t>
      </w:r>
    </w:p>
    <w:p>
      <w:r>
        <w:rPr>
          <w:rFonts w:ascii="Calibri" w:hAnsi="Calibri"/>
          <w:b/>
          <w:color w:val="30A46C"/>
          <w:sz w:val="22"/>
        </w:rPr>
        <w:t xml:space="preserve">Overall Read-Through: </w:t>
      </w:r>
      <w:r>
        <w:rPr>
          <w:rFonts w:ascii="Calibri" w:hAnsi="Calibri"/>
          <w:b/>
          <w:color w:val="525866"/>
          <w:sz w:val="22"/>
        </w:rPr>
        <w:t xml:space="preserve"> Positive.</w:t>
      </w:r>
    </w:p>
    <w:p>
      <w:pPr>
        <w:pStyle w:val="ListBullet"/>
        <w:ind w:left="360" w:hanging="360"/>
      </w:pPr>
      <w:r>
        <w:rPr>
          <w:rFonts w:ascii="Calibri" w:hAnsi="Calibri"/>
          <w:b/>
          <w:color w:val="525866"/>
          <w:sz w:val="22"/>
        </w:rPr>
        <w:t xml:space="preserve">Same-Property NOI Growth: </w:t>
      </w:r>
      <w:r>
        <w:rPr>
          <w:rFonts w:ascii="Calibri" w:hAnsi="Calibri"/>
          <w:color w:val="525866"/>
          <w:sz w:val="22"/>
        </w:rPr>
        <w:t xml:space="preserve">REG reported same-property NOI growth of </w:t>
      </w:r>
      <w:r>
        <w:rPr>
          <w:rFonts w:ascii="Calibri" w:hAnsi="Calibri"/>
          <w:b/>
          <w:color w:val="525866"/>
          <w:sz w:val="22"/>
        </w:rPr>
        <w:t>3.8% in Q2</w:t>
      </w:r>
      <w:r>
        <w:rPr>
          <w:rFonts w:ascii="Calibri" w:hAnsi="Calibri"/>
          <w:color w:val="525866"/>
          <w:sz w:val="22"/>
        </w:rPr>
        <w:t xml:space="preserve">, primarily driven by base rent growth. REG raised its full-year same-property NOI growth forecast by 40 bps at the midpoint, now expecting total NOI growth in the </w:t>
      </w:r>
      <w:r>
        <w:rPr>
          <w:rFonts w:ascii="Calibri" w:hAnsi="Calibri"/>
          <w:b/>
          <w:color w:val="525866"/>
          <w:sz w:val="22"/>
        </w:rPr>
        <w:t>mid-6% area</w:t>
      </w:r>
      <w:r>
        <w:rPr>
          <w:rFonts w:ascii="Calibri" w:hAnsi="Calibri"/>
          <w:color w:val="525866"/>
          <w:sz w:val="22"/>
        </w:rPr>
        <w:t xml:space="preserve">. The increase was driven by higher commenced occupancy expectations and improved expense recoveries. </w:t>
      </w:r>
      <w:r>
        <w:rPr>
          <w:rFonts w:ascii="Calibri" w:hAnsi="Calibri"/>
          <w:b/>
          <w:i/>
          <w:color w:val="525866"/>
          <w:sz w:val="22"/>
        </w:rPr>
        <w:t>FRT read-through: Positive — if REG’s same-property NOI surprised to the upside vs. its own guidance, FRT may similarly outperform its conservative “closer to 2%” guidance.</w:t>
      </w:r>
    </w:p>
    <w:p>
      <w:pPr>
        <w:pStyle w:val="ListBullet"/>
        <w:ind w:left="360" w:hanging="360"/>
      </w:pPr>
      <w:r>
        <w:rPr>
          <w:rFonts w:ascii="Calibri" w:hAnsi="Calibri"/>
          <w:b/>
          <w:color w:val="525866"/>
          <w:sz w:val="22"/>
        </w:rPr>
        <w:t xml:space="preserve">Leasing Demand: </w:t>
      </w:r>
      <w:r>
        <w:rPr>
          <w:rFonts w:ascii="Calibri" w:hAnsi="Calibri"/>
          <w:color w:val="525866"/>
          <w:sz w:val="22"/>
        </w:rPr>
        <w:t xml:space="preserve">Leasing activity is broad-based across nearly every category and region. Quality space is in short supply both within REG’s portfolio and throughout their markets. The same-property lease rate is now </w:t>
      </w:r>
      <w:r>
        <w:rPr>
          <w:rFonts w:ascii="Calibri" w:hAnsi="Calibri"/>
          <w:b/>
          <w:color w:val="525866"/>
          <w:sz w:val="22"/>
        </w:rPr>
        <w:t>nearly 97%</w:t>
      </w:r>
      <w:r>
        <w:rPr>
          <w:rFonts w:ascii="Calibri" w:hAnsi="Calibri"/>
          <w:color w:val="525866"/>
          <w:sz w:val="22"/>
        </w:rPr>
        <w:t xml:space="preserve">, driven by strong tenant demand and an 84% retention rate. </w:t>
      </w:r>
      <w:r>
        <w:rPr>
          <w:rFonts w:ascii="Calibri" w:hAnsi="Calibri"/>
          <w:b/>
          <w:i/>
          <w:color w:val="525866"/>
          <w:sz w:val="22"/>
        </w:rPr>
        <w:t>FRT read-through: Positive — confirms the supply-constrained retail environment that underpins FRT’s pricing power.</w:t>
      </w:r>
    </w:p>
    <w:p>
      <w:pPr>
        <w:pStyle w:val="ListBullet"/>
        <w:ind w:left="360" w:hanging="360"/>
      </w:pPr>
      <w:r>
        <w:rPr>
          <w:rFonts w:ascii="Calibri" w:hAnsi="Calibri"/>
          <w:b/>
          <w:color w:val="525866"/>
          <w:sz w:val="22"/>
        </w:rPr>
        <w:t xml:space="preserve">Rent Spreads: </w:t>
      </w:r>
      <w:r>
        <w:rPr>
          <w:rFonts w:ascii="Calibri" w:hAnsi="Calibri"/>
          <w:color w:val="525866"/>
          <w:sz w:val="22"/>
        </w:rPr>
        <w:t xml:space="preserve">Cash rent spreads above </w:t>
      </w:r>
      <w:r>
        <w:rPr>
          <w:rFonts w:ascii="Calibri" w:hAnsi="Calibri"/>
          <w:b/>
          <w:color w:val="525866"/>
          <w:sz w:val="22"/>
        </w:rPr>
        <w:t>10%</w:t>
      </w:r>
      <w:r>
        <w:rPr>
          <w:rFonts w:ascii="Calibri" w:hAnsi="Calibri"/>
          <w:color w:val="525866"/>
          <w:sz w:val="22"/>
        </w:rPr>
        <w:t xml:space="preserve"> in Q2, GAAP spreads of nearly 20%. More than 80% of new shop leases included annual rent bumps of 3% or more. Anchor tenants that previously had flat rents for 10–20 years are now seeing escalators in 5-year increments. </w:t>
      </w:r>
      <w:r>
        <w:rPr>
          <w:rFonts w:ascii="Calibri" w:hAnsi="Calibri"/>
          <w:b/>
          <w:i/>
          <w:color w:val="525866"/>
          <w:sz w:val="22"/>
        </w:rPr>
        <w:t>FRT read-through: Positive — consistent with FRT’s own 13% cash rollover in Q1 and supports the durability of above-average spreads.</w:t>
      </w:r>
    </w:p>
    <w:p>
      <w:pPr>
        <w:pStyle w:val="ListBullet"/>
        <w:ind w:left="360" w:hanging="360"/>
      </w:pPr>
      <w:r>
        <w:rPr>
          <w:rFonts w:ascii="Calibri" w:hAnsi="Calibri"/>
          <w:b/>
          <w:color w:val="525866"/>
          <w:sz w:val="22"/>
        </w:rPr>
        <w:t xml:space="preserve">Retailer Health: </w:t>
      </w:r>
      <w:r>
        <w:rPr>
          <w:rFonts w:ascii="Calibri" w:hAnsi="Calibri"/>
          <w:color w:val="525866"/>
          <w:sz w:val="22"/>
        </w:rPr>
        <w:t xml:space="preserve">Tenant sales growth is widespread, foot traffic shows steady increases, and accounts receivables remain below historical averages. One major EV operator decided not to open 11 locations but is financially sound; REG collected a termination fee equivalent to four years of rent and is already backfilling 8 of 11 locations. </w:t>
      </w:r>
      <w:r>
        <w:rPr>
          <w:rFonts w:ascii="Calibri" w:hAnsi="Calibri"/>
          <w:b/>
          <w:i/>
          <w:color w:val="525866"/>
          <w:sz w:val="22"/>
        </w:rPr>
        <w:t>FRT read-through: Neutral-to-positive — tenant health broadly strong; isolated EV operator issue is idiosyncratic.</w:t>
      </w:r>
    </w:p>
    <w:p>
      <w:pPr>
        <w:pStyle w:val="ListBullet"/>
        <w:ind w:left="360" w:hanging="360"/>
      </w:pPr>
      <w:r>
        <w:rPr>
          <w:rFonts w:ascii="Calibri" w:hAnsi="Calibri"/>
          <w:b/>
          <w:color w:val="525866"/>
          <w:sz w:val="22"/>
        </w:rPr>
        <w:t xml:space="preserve">Development Pipeline: </w:t>
      </w:r>
      <w:r>
        <w:rPr>
          <w:rFonts w:ascii="Calibri" w:hAnsi="Calibri"/>
          <w:color w:val="525866"/>
          <w:sz w:val="22"/>
        </w:rPr>
        <w:t xml:space="preserve">REG raised expected development and redevelopment starts for 2026 to approach </w:t>
      </w:r>
      <w:r>
        <w:rPr>
          <w:rFonts w:ascii="Calibri" w:hAnsi="Calibri"/>
          <w:b/>
          <w:color w:val="525866"/>
          <w:sz w:val="22"/>
        </w:rPr>
        <w:t>$400M</w:t>
      </w:r>
      <w:r>
        <w:rPr>
          <w:rFonts w:ascii="Calibri" w:hAnsi="Calibri"/>
          <w:color w:val="525866"/>
          <w:sz w:val="22"/>
        </w:rPr>
        <w:t xml:space="preserve">. In-process pipeline of $680M is nearly 80% leased at blended 9% yields. Acquisition market is very active with cap rates compressing, some trades now starting with a four (below 5%). </w:t>
      </w:r>
      <w:r>
        <w:rPr>
          <w:rFonts w:ascii="Calibri" w:hAnsi="Calibri"/>
          <w:b/>
          <w:i/>
          <w:color w:val="525866"/>
          <w:sz w:val="22"/>
        </w:rPr>
        <w:t>FRT read-through: Positive — confirms the active acquisition market and validates FRT’s capital recycling strategy.</w:t>
      </w:r>
    </w:p>
    <w:p>
      <w:pPr>
        <w:pStyle w:val="ListBullet"/>
        <w:ind w:left="360" w:hanging="360"/>
      </w:pPr>
      <w:r>
        <w:rPr>
          <w:rFonts w:ascii="Calibri" w:hAnsi="Calibri"/>
          <w:b/>
          <w:color w:val="525866"/>
          <w:sz w:val="22"/>
        </w:rPr>
        <w:t xml:space="preserve">Guidance: </w:t>
      </w:r>
      <w:r>
        <w:rPr>
          <w:rFonts w:ascii="Calibri" w:hAnsi="Calibri"/>
          <w:color w:val="525866"/>
          <w:sz w:val="22"/>
        </w:rPr>
        <w:t xml:space="preserve">REG raised full-year core operating earnings per share growth to exceed </w:t>
      </w:r>
      <w:r>
        <w:rPr>
          <w:rFonts w:ascii="Calibri" w:hAnsi="Calibri"/>
          <w:b/>
          <w:color w:val="525866"/>
          <w:sz w:val="22"/>
        </w:rPr>
        <w:t>5%</w:t>
      </w:r>
      <w:r>
        <w:rPr>
          <w:rFonts w:ascii="Calibri" w:hAnsi="Calibri"/>
          <w:color w:val="525866"/>
          <w:sz w:val="22"/>
        </w:rPr>
        <w:t xml:space="preserve"> and total NOI growth to the mid-6% area. Same-property NOI guidance raised 40 bps at the midpoint.</w:t>
      </w:r>
    </w:p>
    <w:p>
      <w:pPr>
        <w:pStyle w:val="Heading3"/>
      </w:pPr>
      <w:r>
        <w:rPr>
          <w:rFonts w:ascii="Calibri" w:hAnsi="Calibri"/>
          <w:b/>
          <w:color w:val="3B4259"/>
          <w:sz w:val="24"/>
        </w:rPr>
        <w:t>Kite Realty Group (KRG) — Q2 2026 Earnings (Reported July 30, 2026)</w:t>
      </w:r>
    </w:p>
    <w:p>
      <w:r>
        <w:rPr>
          <w:rFonts w:ascii="Calibri" w:hAnsi="Calibri"/>
          <w:b/>
          <w:color w:val="30A46C"/>
          <w:sz w:val="22"/>
        </w:rPr>
        <w:t xml:space="preserve">Overall Read-Through: </w:t>
      </w:r>
      <w:r>
        <w:rPr>
          <w:rFonts w:ascii="Calibri" w:hAnsi="Calibri"/>
          <w:b/>
          <w:color w:val="525866"/>
          <w:sz w:val="22"/>
        </w:rPr>
        <w:t xml:space="preserve"> Positive.</w:t>
      </w:r>
    </w:p>
    <w:p>
      <w:pPr>
        <w:pStyle w:val="ListBullet"/>
        <w:ind w:left="360" w:hanging="360"/>
      </w:pPr>
      <w:r>
        <w:rPr>
          <w:rFonts w:ascii="Calibri" w:hAnsi="Calibri"/>
          <w:b/>
          <w:color w:val="525866"/>
          <w:sz w:val="22"/>
        </w:rPr>
        <w:t xml:space="preserve">Same-Property NOI Growth: </w:t>
      </w:r>
      <w:r>
        <w:rPr>
          <w:rFonts w:ascii="Calibri" w:hAnsi="Calibri"/>
          <w:color w:val="525866"/>
          <w:sz w:val="22"/>
        </w:rPr>
        <w:t xml:space="preserve">KRG reported same-property NOI growth of </w:t>
      </w:r>
      <w:r>
        <w:rPr>
          <w:rFonts w:ascii="Calibri" w:hAnsi="Calibri"/>
          <w:b/>
          <w:color w:val="525866"/>
          <w:sz w:val="22"/>
        </w:rPr>
        <w:t>3.7% in Q2 and year-to-date</w:t>
      </w:r>
      <w:r>
        <w:rPr>
          <w:rFonts w:ascii="Calibri" w:hAnsi="Calibri"/>
          <w:color w:val="525866"/>
          <w:sz w:val="22"/>
        </w:rPr>
        <w:t xml:space="preserve">, which “meaningfully outperformed internal estimates.” Outperformance was broad-based across better tenant retention, lower bad debt, higher average rent, and stronger net recoveries. KRG raised full-year same-property NOI guidance by 50 bps at the midpoint to a range of </w:t>
      </w:r>
      <w:r>
        <w:rPr>
          <w:rFonts w:ascii="Calibri" w:hAnsi="Calibri"/>
          <w:b/>
          <w:color w:val="525866"/>
          <w:sz w:val="22"/>
        </w:rPr>
        <w:t>3%–4%</w:t>
      </w:r>
      <w:r>
        <w:rPr>
          <w:rFonts w:ascii="Calibri" w:hAnsi="Calibri"/>
          <w:color w:val="525866"/>
          <w:sz w:val="22"/>
        </w:rPr>
        <w:t xml:space="preserve">. A slight deceleration is expected in H2 due to strong H1 performance, not a change in underlying trends. </w:t>
      </w:r>
      <w:r>
        <w:rPr>
          <w:rFonts w:ascii="Calibri" w:hAnsi="Calibri"/>
          <w:b/>
          <w:i/>
          <w:color w:val="525866"/>
          <w:sz w:val="22"/>
        </w:rPr>
        <w:t>FRT read-through: Positive — same-property NOI outperformance vs. internal estimates is a direct positive signal for FRT.</w:t>
      </w:r>
    </w:p>
    <w:p>
      <w:pPr>
        <w:pStyle w:val="ListBullet"/>
        <w:ind w:left="360" w:hanging="360"/>
      </w:pPr>
      <w:r>
        <w:rPr>
          <w:rFonts w:ascii="Calibri" w:hAnsi="Calibri"/>
          <w:b/>
          <w:color w:val="525866"/>
          <w:sz w:val="22"/>
        </w:rPr>
        <w:t xml:space="preserve">Leasing Demand &amp; Occupancy: </w:t>
      </w:r>
      <w:r>
        <w:rPr>
          <w:rFonts w:ascii="Calibri" w:hAnsi="Calibri"/>
          <w:color w:val="525866"/>
          <w:sz w:val="22"/>
        </w:rPr>
        <w:t xml:space="preserve">KRG’s lease rate reached </w:t>
      </w:r>
      <w:r>
        <w:rPr>
          <w:rFonts w:ascii="Calibri" w:hAnsi="Calibri"/>
          <w:b/>
          <w:color w:val="525866"/>
          <w:sz w:val="22"/>
        </w:rPr>
        <w:t>94.8%</w:t>
      </w:r>
      <w:r>
        <w:rPr>
          <w:rFonts w:ascii="Calibri" w:hAnsi="Calibri"/>
          <w:color w:val="525866"/>
          <w:sz w:val="22"/>
        </w:rPr>
        <w:t xml:space="preserve"> in Q2, up 150 bps year-over-year. The signed-not-open pipeline increased to approximately </w:t>
      </w:r>
      <w:r>
        <w:rPr>
          <w:rFonts w:ascii="Calibri" w:hAnsi="Calibri"/>
          <w:b/>
          <w:color w:val="525866"/>
          <w:sz w:val="22"/>
        </w:rPr>
        <w:t>$37M of NOI</w:t>
      </w:r>
      <w:r>
        <w:rPr>
          <w:rFonts w:ascii="Calibri" w:hAnsi="Calibri"/>
          <w:color w:val="525866"/>
          <w:sz w:val="22"/>
        </w:rPr>
        <w:t xml:space="preserve">, representing a 350 bps spread between leased and occupied rates. CEO John Kite stated: “Halfway through 2026, tenant demand remains healthy. Our sign not open pipeline remains elevated, and the fundamentals underpinning our portfolio have never been more durable.” </w:t>
      </w:r>
      <w:r>
        <w:rPr>
          <w:rFonts w:ascii="Calibri" w:hAnsi="Calibri"/>
          <w:b/>
          <w:i/>
          <w:color w:val="525866"/>
          <w:sz w:val="22"/>
        </w:rPr>
        <w:t>FRT read-through: Positive — elevated signed-not-open pipeline mirrors FRT’s own $36M incremental rent pipeline and supports the Q4 step-up thesis.</w:t>
      </w:r>
    </w:p>
    <w:p>
      <w:pPr>
        <w:pStyle w:val="ListBullet"/>
        <w:ind w:left="360" w:hanging="360"/>
      </w:pPr>
      <w:r>
        <w:rPr>
          <w:rFonts w:ascii="Calibri" w:hAnsi="Calibri"/>
          <w:b/>
          <w:color w:val="525866"/>
          <w:sz w:val="22"/>
        </w:rPr>
        <w:t xml:space="preserve">Rent Spreads: </w:t>
      </w:r>
      <w:r>
        <w:rPr>
          <w:rFonts w:ascii="Calibri" w:hAnsi="Calibri"/>
          <w:color w:val="525866"/>
          <w:sz w:val="22"/>
        </w:rPr>
        <w:t xml:space="preserve">KRG executed 128 leases totaling ~1M sq ft with blended cash spreads of </w:t>
      </w:r>
      <w:r>
        <w:rPr>
          <w:rFonts w:ascii="Calibri" w:hAnsi="Calibri"/>
          <w:b/>
          <w:color w:val="525866"/>
          <w:sz w:val="22"/>
        </w:rPr>
        <w:t>15.9%</w:t>
      </w:r>
      <w:r>
        <w:rPr>
          <w:rFonts w:ascii="Calibri" w:hAnsi="Calibri"/>
          <w:color w:val="525866"/>
          <w:sz w:val="22"/>
        </w:rPr>
        <w:t xml:space="preserve"> (28.4% on comparable new leases). ABR per sq ft climbed to $23.41, up 6.3% year-over-year. Embedded rent growth climbed to 185 bps, up nearly 30 bps since the start of 2024. </w:t>
      </w:r>
      <w:r>
        <w:rPr>
          <w:rFonts w:ascii="Calibri" w:hAnsi="Calibri"/>
          <w:b/>
          <w:i/>
          <w:color w:val="525866"/>
          <w:sz w:val="22"/>
        </w:rPr>
        <w:t>FRT read-through: Positive — strong spreads across the sector confirm FRT’s own 13% cash rollover is sustainable.</w:t>
      </w:r>
    </w:p>
    <w:p>
      <w:pPr>
        <w:pStyle w:val="ListBullet"/>
        <w:ind w:left="360" w:hanging="360"/>
      </w:pPr>
      <w:r>
        <w:rPr>
          <w:rFonts w:ascii="Calibri" w:hAnsi="Calibri"/>
          <w:b/>
          <w:color w:val="525866"/>
          <w:sz w:val="22"/>
        </w:rPr>
        <w:t xml:space="preserve">Retailer Health: </w:t>
      </w:r>
      <w:r>
        <w:rPr>
          <w:rFonts w:ascii="Calibri" w:hAnsi="Calibri"/>
          <w:color w:val="525866"/>
          <w:sz w:val="22"/>
        </w:rPr>
        <w:t xml:space="preserve">KRG’s tenant roster is increasingly concentrated in “durable, high credit operators.” Grocers now constitute a third of the top 15 tenant list. CEO Kite: “We’re definitely in a healthier environment for retailers — very low supply, and the majority of our retailers have rebuilt their businesses and have good platforms and balance sheets.” </w:t>
      </w:r>
      <w:r>
        <w:rPr>
          <w:rFonts w:ascii="Calibri" w:hAnsi="Calibri"/>
          <w:b/>
          <w:i/>
          <w:color w:val="525866"/>
          <w:sz w:val="22"/>
        </w:rPr>
        <w:t>FRT read-through: Positive — healthy retailer credit environment reduces risk of unexpected tenant disruptions.</w:t>
      </w:r>
    </w:p>
    <w:p>
      <w:pPr>
        <w:pStyle w:val="ListBullet"/>
        <w:ind w:left="360" w:hanging="360"/>
      </w:pPr>
      <w:r>
        <w:rPr>
          <w:rFonts w:ascii="Calibri" w:hAnsi="Calibri"/>
          <w:b/>
          <w:color w:val="525866"/>
          <w:sz w:val="22"/>
        </w:rPr>
        <w:t xml:space="preserve">Guidance: </w:t>
      </w:r>
      <w:r>
        <w:rPr>
          <w:rFonts w:ascii="Calibri" w:hAnsi="Calibri"/>
          <w:color w:val="525866"/>
          <w:sz w:val="22"/>
        </w:rPr>
        <w:t>Full-year core FFO guidance maintained at $2.06–$2.12/share (incorporating a 2-cent drag from Project Elevate transaction timing). Same-property NOI guidance raised 50 bps at the midpoint to 3%–4%.</w:t>
      </w:r>
    </w:p>
    <w:p>
      <w:pPr>
        <w:pStyle w:val="Heading3"/>
      </w:pPr>
      <w:r>
        <w:rPr>
          <w:rFonts w:ascii="Calibri" w:hAnsi="Calibri"/>
          <w:b/>
          <w:color w:val="3B4259"/>
          <w:sz w:val="24"/>
        </w:rPr>
        <w:t>Phillips Edison &amp; Company (PECO) — Q2 2026 Earnings (Reported July 23–24, 2026)</w:t>
      </w:r>
    </w:p>
    <w:p>
      <w:r>
        <w:rPr>
          <w:rFonts w:ascii="Calibri" w:hAnsi="Calibri"/>
          <w:b/>
          <w:color w:val="30A46C"/>
          <w:sz w:val="22"/>
        </w:rPr>
        <w:t xml:space="preserve">Overall Read-Through: </w:t>
      </w:r>
      <w:r>
        <w:rPr>
          <w:rFonts w:ascii="Calibri" w:hAnsi="Calibri"/>
          <w:b/>
          <w:color w:val="525866"/>
          <w:sz w:val="22"/>
        </w:rPr>
        <w:t xml:space="preserve"> Positive.</w:t>
      </w:r>
    </w:p>
    <w:p>
      <w:pPr>
        <w:pStyle w:val="ListBullet"/>
        <w:ind w:left="360" w:hanging="360"/>
      </w:pPr>
      <w:r>
        <w:rPr>
          <w:rFonts w:ascii="Calibri" w:hAnsi="Calibri"/>
          <w:b/>
          <w:color w:val="525866"/>
          <w:sz w:val="22"/>
        </w:rPr>
        <w:t xml:space="preserve">Same-Center NOI Growth: </w:t>
      </w:r>
      <w:r>
        <w:rPr>
          <w:rFonts w:ascii="Calibri" w:hAnsi="Calibri"/>
          <w:color w:val="525866"/>
          <w:sz w:val="22"/>
        </w:rPr>
        <w:t xml:space="preserve">PECO reported same-center NOI growth of </w:t>
      </w:r>
      <w:r>
        <w:rPr>
          <w:rFonts w:ascii="Calibri" w:hAnsi="Calibri"/>
          <w:b/>
          <w:color w:val="525866"/>
          <w:sz w:val="22"/>
        </w:rPr>
        <w:t>3.8% in Q2</w:t>
      </w:r>
      <w:r>
        <w:rPr>
          <w:rFonts w:ascii="Calibri" w:hAnsi="Calibri"/>
          <w:color w:val="525866"/>
          <w:sz w:val="22"/>
        </w:rPr>
        <w:t xml:space="preserve">, primarily driven by increases in average rents and economic occupancy. Full-year same-center NOI growth guidance updated to </w:t>
      </w:r>
      <w:r>
        <w:rPr>
          <w:rFonts w:ascii="Calibri" w:hAnsi="Calibri"/>
          <w:b/>
          <w:color w:val="525866"/>
          <w:sz w:val="22"/>
        </w:rPr>
        <w:t>3.7% at the midpoint</w:t>
      </w:r>
      <w:r>
        <w:rPr>
          <w:rFonts w:ascii="Calibri" w:hAnsi="Calibri"/>
          <w:color w:val="525866"/>
          <w:sz w:val="22"/>
        </w:rPr>
        <w:t xml:space="preserve">, which is “in the upper range of our long-term target of 3–4%.” </w:t>
      </w:r>
      <w:r>
        <w:rPr>
          <w:rFonts w:ascii="Calibri" w:hAnsi="Calibri"/>
          <w:b/>
          <w:i/>
          <w:color w:val="525866"/>
          <w:sz w:val="22"/>
        </w:rPr>
        <w:t>FRT read-through: Positive — necessity-based retail (PECO’s focus) is performing well, and FRT’s more affluent-focused portfolio should benefit from similar or stronger dynamics.</w:t>
      </w:r>
    </w:p>
    <w:p>
      <w:pPr>
        <w:pStyle w:val="ListBullet"/>
        <w:ind w:left="360" w:hanging="360"/>
      </w:pPr>
      <w:r>
        <w:rPr>
          <w:rFonts w:ascii="Calibri" w:hAnsi="Calibri"/>
          <w:b/>
          <w:color w:val="525866"/>
          <w:sz w:val="22"/>
        </w:rPr>
        <w:t xml:space="preserve">Leasing Demand &amp; Occupancy: </w:t>
      </w:r>
      <w:r>
        <w:rPr>
          <w:rFonts w:ascii="Calibri" w:hAnsi="Calibri"/>
          <w:color w:val="525866"/>
          <w:sz w:val="22"/>
        </w:rPr>
        <w:t xml:space="preserve">PECO’s leased portfolio occupancy remained high at </w:t>
      </w:r>
      <w:r>
        <w:rPr>
          <w:rFonts w:ascii="Calibri" w:hAnsi="Calibri"/>
          <w:b/>
          <w:color w:val="525866"/>
          <w:sz w:val="22"/>
        </w:rPr>
        <w:t>97.3%</w:t>
      </w:r>
      <w:r>
        <w:rPr>
          <w:rFonts w:ascii="Calibri" w:hAnsi="Calibri"/>
          <w:color w:val="525866"/>
          <w:sz w:val="22"/>
        </w:rPr>
        <w:t xml:space="preserve">. Leased inline occupancy hit a record high of 95.5%, and economic inline occupancy hit a record high of 94.8%. Management sees no signs of slowing demand: “We continue to see high retailer demand with no current signs of slowing — necessity-based categories including quick service and fast casual restaurants, health and wellness, beauty, fitness services and MedTail continue to be excellent drivers of demand.” A 25% increase in overall leases completed in Q2 vs. Q1 shows momentum. </w:t>
      </w:r>
      <w:r>
        <w:rPr>
          <w:rFonts w:ascii="Calibri" w:hAnsi="Calibri"/>
          <w:b/>
          <w:i/>
          <w:color w:val="525866"/>
          <w:sz w:val="22"/>
        </w:rPr>
        <w:t>FRT read-through: Positive — record occupancy levels and accelerating leasing activity confirm the broad-based strength of the retail REIT sector.</w:t>
      </w:r>
    </w:p>
    <w:p>
      <w:pPr>
        <w:pStyle w:val="ListBullet"/>
        <w:ind w:left="360" w:hanging="360"/>
      </w:pPr>
      <w:r>
        <w:rPr>
          <w:rFonts w:ascii="Calibri" w:hAnsi="Calibri"/>
          <w:b/>
          <w:color w:val="525866"/>
          <w:sz w:val="22"/>
        </w:rPr>
        <w:t xml:space="preserve">Rent Spreads: </w:t>
      </w:r>
      <w:r>
        <w:rPr>
          <w:rFonts w:ascii="Calibri" w:hAnsi="Calibri"/>
          <w:color w:val="525866"/>
          <w:sz w:val="22"/>
        </w:rPr>
        <w:t xml:space="preserve">PECO reported comparable renewal rent spreads of </w:t>
      </w:r>
      <w:r>
        <w:rPr>
          <w:rFonts w:ascii="Calibri" w:hAnsi="Calibri"/>
          <w:b/>
          <w:color w:val="525866"/>
          <w:sz w:val="22"/>
        </w:rPr>
        <w:t>21.2%</w:t>
      </w:r>
      <w:r>
        <w:rPr>
          <w:rFonts w:ascii="Calibri" w:hAnsi="Calibri"/>
          <w:color w:val="525866"/>
          <w:sz w:val="22"/>
        </w:rPr>
        <w:t xml:space="preserve"> and comparable new rent spreads of </w:t>
      </w:r>
      <w:r>
        <w:rPr>
          <w:rFonts w:ascii="Calibri" w:hAnsi="Calibri"/>
          <w:b/>
          <w:color w:val="525866"/>
          <w:sz w:val="22"/>
        </w:rPr>
        <w:t>33.7%</w:t>
      </w:r>
      <w:r>
        <w:rPr>
          <w:rFonts w:ascii="Calibri" w:hAnsi="Calibri"/>
          <w:color w:val="525866"/>
          <w:sz w:val="22"/>
        </w:rPr>
        <w:t xml:space="preserve">. Inline leasing deals featured record high annual rent bumps of 3.1%. Management: “We just don’t see anything slowing down.” </w:t>
      </w:r>
      <w:r>
        <w:rPr>
          <w:rFonts w:ascii="Calibri" w:hAnsi="Calibri"/>
          <w:b/>
          <w:i/>
          <w:color w:val="525866"/>
          <w:sz w:val="22"/>
        </w:rPr>
        <w:t>FRT read-through: Positive — exceptional spreads across the sector support FRT’s own above-average rollover markups.</w:t>
      </w:r>
    </w:p>
    <w:p>
      <w:pPr>
        <w:pStyle w:val="ListBullet"/>
        <w:ind w:left="360" w:hanging="360"/>
      </w:pPr>
      <w:r>
        <w:rPr>
          <w:rFonts w:ascii="Calibri" w:hAnsi="Calibri"/>
          <w:b/>
          <w:color w:val="525866"/>
          <w:sz w:val="22"/>
        </w:rPr>
        <w:t xml:space="preserve">Retailer Health &amp; Bad Debt: </w:t>
      </w:r>
      <w:r>
        <w:rPr>
          <w:rFonts w:ascii="Calibri" w:hAnsi="Calibri"/>
          <w:color w:val="525866"/>
          <w:sz w:val="22"/>
        </w:rPr>
        <w:t xml:space="preserve">Bad debt was lower than expected at approximately </w:t>
      </w:r>
      <w:r>
        <w:rPr>
          <w:rFonts w:ascii="Calibri" w:hAnsi="Calibri"/>
          <w:b/>
          <w:color w:val="525866"/>
          <w:sz w:val="22"/>
        </w:rPr>
        <w:t>70 bps of revenue</w:t>
      </w:r>
      <w:r>
        <w:rPr>
          <w:rFonts w:ascii="Calibri" w:hAnsi="Calibri"/>
          <w:color w:val="525866"/>
          <w:sz w:val="22"/>
        </w:rPr>
        <w:t xml:space="preserve"> in Q2. Full-year bad debt guidance lowered; expected to be “in line or slightly better than 2025.” Foot traffic up 2% year-over-year in June and year-to-date. Kroger’s announced acquisition of Giant Eagle seen as a positive for PECO’s 10 Giant Eagle-anchored centers. </w:t>
      </w:r>
      <w:r>
        <w:rPr>
          <w:rFonts w:ascii="Calibri" w:hAnsi="Calibri"/>
          <w:b/>
          <w:i/>
          <w:color w:val="525866"/>
          <w:sz w:val="22"/>
        </w:rPr>
        <w:t>FRT read-through: Positive — lower bad debt is a direct positive for NOI and FFO; FRT’s affluent tenant base should see similar or better credit performance.</w:t>
      </w:r>
    </w:p>
    <w:p>
      <w:pPr>
        <w:pStyle w:val="ListBullet"/>
        <w:ind w:left="360" w:hanging="360"/>
      </w:pPr>
      <w:r>
        <w:rPr>
          <w:rFonts w:ascii="Calibri" w:hAnsi="Calibri"/>
          <w:b/>
          <w:color w:val="525866"/>
          <w:sz w:val="22"/>
        </w:rPr>
        <w:t xml:space="preserve">Guidance: </w:t>
      </w:r>
      <w:r>
        <w:rPr>
          <w:rFonts w:ascii="Calibri" w:hAnsi="Calibri"/>
          <w:color w:val="525866"/>
          <w:sz w:val="22"/>
        </w:rPr>
        <w:t>Full-year FFO per share guidance increased, reflecting a 6.3% increase over 2025 at the midpoint. Core FFO per share guidance increased, representing a 6.2% increase over 2025 at the midpoint. Gross acquisitions guidance raised to $500–$600M.</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sells by FRT insiders in the last 60 days. The only Form 4 activity was estate planning transfers (gift code “G”) by CEO Donald Wood and Director Thomas McEachin in early June — these are non-economic transfers to revocable trusts with no change in beneficial control. No insider selling signal; the absence of open-market activity is neutral.</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Value</w:t>
            </w:r>
          </w:p>
        </w:tc>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Donald C. Wood</w:t>
            </w:r>
          </w:p>
        </w:tc>
        <w:tc>
          <w:tcPr>
            <w:tcW w:type="dxa" w:w="1234"/>
          </w:tcPr>
          <w:p>
            <w:r>
              <w:rPr>
                <w:rFonts w:ascii="Calibri" w:hAnsi="Calibri"/>
                <w:sz w:val="22"/>
              </w:rPr>
              <w:t>CEO &amp; President</w:t>
            </w:r>
          </w:p>
        </w:tc>
        <w:tc>
          <w:tcPr>
            <w:tcW w:type="dxa" w:w="1234"/>
          </w:tcPr>
          <w:p>
            <w:r>
              <w:rPr>
                <w:rFonts w:ascii="Calibri" w:hAnsi="Calibri"/>
                <w:sz w:val="22"/>
              </w:rPr>
              <w:t>Gift (Estate Planning Transfer)</w:t>
            </w:r>
          </w:p>
        </w:tc>
        <w:tc>
          <w:tcPr>
            <w:tcW w:type="dxa" w:w="1234"/>
          </w:tcPr>
          <w:p>
            <w:r>
              <w:rPr>
                <w:rFonts w:ascii="Calibri" w:hAnsi="Calibri"/>
                <w:sz w:val="22"/>
              </w:rPr>
              <w:t>37,038</w:t>
            </w:r>
          </w:p>
        </w:tc>
        <w:tc>
          <w:tcPr>
            <w:tcW w:type="dxa" w:w="1234"/>
          </w:tcPr>
          <w:p>
            <w:r>
              <w:rPr>
                <w:rFonts w:ascii="Calibri" w:hAnsi="Calibri"/>
                <w:sz w:val="22"/>
              </w:rPr>
              <w:t>$0 (non-economic)</w:t>
            </w:r>
          </w:p>
        </w:tc>
        <w:tc>
          <w:tcPr>
            <w:tcW w:type="dxa" w:w="1234"/>
          </w:tcPr>
          <w:p>
            <w:r>
              <w:rPr>
                <w:rFonts w:ascii="Calibri" w:hAnsi="Calibri"/>
                <w:sz w:val="22"/>
              </w:rPr>
              <w:t>June 3, 2026</w:t>
            </w:r>
          </w:p>
        </w:tc>
        <w:tc>
          <w:tcPr>
            <w:tcW w:type="dxa" w:w="1234"/>
          </w:tcPr>
          <w:p>
            <w:r>
              <w:rPr>
                <w:rFonts w:ascii="Calibri" w:hAnsi="Calibri"/>
                <w:sz w:val="22"/>
              </w:rPr>
              <w:t>Transfer of directly-held shares to personal revocable trust; Wood retains sole control as trustee and beneficiary. Not a sale. Not a 10b5-1 plan.</w:t>
            </w:r>
          </w:p>
        </w:tc>
      </w:tr>
      <w:tr>
        <w:tc>
          <w:tcPr>
            <w:tcW w:type="dxa" w:w="1234"/>
          </w:tcPr>
          <w:p>
            <w:r>
              <w:rPr>
                <w:rFonts w:ascii="Calibri" w:hAnsi="Calibri"/>
                <w:sz w:val="22"/>
              </w:rPr>
              <w:t>Thomas McEachin</w:t>
            </w:r>
          </w:p>
        </w:tc>
        <w:tc>
          <w:tcPr>
            <w:tcW w:type="dxa" w:w="1234"/>
          </w:tcPr>
          <w:p>
            <w:r>
              <w:rPr>
                <w:rFonts w:ascii="Calibri" w:hAnsi="Calibri"/>
                <w:sz w:val="22"/>
              </w:rPr>
              <w:t>Director</w:t>
            </w:r>
          </w:p>
        </w:tc>
        <w:tc>
          <w:tcPr>
            <w:tcW w:type="dxa" w:w="1234"/>
          </w:tcPr>
          <w:p>
            <w:r>
              <w:rPr>
                <w:rFonts w:ascii="Calibri" w:hAnsi="Calibri"/>
                <w:sz w:val="22"/>
              </w:rPr>
              <w:t>Gift (Estate Planning Transfer)</w:t>
            </w:r>
          </w:p>
        </w:tc>
        <w:tc>
          <w:tcPr>
            <w:tcW w:type="dxa" w:w="1234"/>
          </w:tcPr>
          <w:p>
            <w:r>
              <w:rPr>
                <w:rFonts w:ascii="Calibri" w:hAnsi="Calibri"/>
                <w:sz w:val="22"/>
              </w:rPr>
              <w:t>1,339</w:t>
            </w:r>
          </w:p>
        </w:tc>
        <w:tc>
          <w:tcPr>
            <w:tcW w:type="dxa" w:w="1234"/>
          </w:tcPr>
          <w:p>
            <w:r>
              <w:rPr>
                <w:rFonts w:ascii="Calibri" w:hAnsi="Calibri"/>
                <w:sz w:val="22"/>
              </w:rPr>
              <w:t>$0 (non-economic)</w:t>
            </w:r>
          </w:p>
        </w:tc>
        <w:tc>
          <w:tcPr>
            <w:tcW w:type="dxa" w:w="1234"/>
          </w:tcPr>
          <w:p>
            <w:r>
              <w:rPr>
                <w:rFonts w:ascii="Calibri" w:hAnsi="Calibri"/>
                <w:sz w:val="22"/>
              </w:rPr>
              <w:t>June 3, 2026</w:t>
            </w:r>
          </w:p>
        </w:tc>
        <w:tc>
          <w:tcPr>
            <w:tcW w:type="dxa" w:w="1234"/>
          </w:tcPr>
          <w:p>
            <w:r>
              <w:rPr>
                <w:rFonts w:ascii="Calibri" w:hAnsi="Calibri"/>
                <w:sz w:val="22"/>
              </w:rPr>
              <w:t>Transfer of directly-held shares to personal living trust; McEachin and wife are sole trustees and beneficiaries. Not a sale. Not a 10b5-1 plan.</w:t>
            </w:r>
          </w:p>
        </w:tc>
      </w:tr>
    </w:tbl>
    <w:p>
      <w:r>
        <w:rPr>
          <w:rFonts w:ascii="Calibri" w:hAnsi="Calibri"/>
          <w:color w:val="525866"/>
          <w:sz w:val="22"/>
        </w:rPr>
        <w:t>No open-market purchases (Form 4 code “P”) or open-market sales (Form 4 code “S”) were identified for FRT insiders in the 60-day window prior to July 30, 2026. The two Form 4 filings identified are estate planning transfers (code “G”) with no economic significance — beneficial ownership and voting control are unchanged. There are no 10b5-1 plan initiations or discretionary sales to flag.</w:t>
      </w:r>
    </w:p>
    <w:p>
      <w:r>
        <w:rPr>
          <w:rFonts w:ascii="Calibri" w:hAnsi="Calibri"/>
          <w:i/>
          <w:color w:val="525866"/>
          <w:sz w:val="22"/>
        </w:rPr>
        <w:t>Source: SEC Form 4 filings (EDGAR).</w:t>
      </w:r>
    </w:p>
    <w:p>
      <w:r>
        <w:br w:type="page"/>
      </w:r>
    </w:p>
    <w:p>
      <w:pPr>
        <w:pStyle w:val="Heading2"/>
      </w:pPr>
      <w:r>
        <w:rPr>
          <w:rFonts w:ascii="Calibri" w:hAnsi="Calibri"/>
          <w:b/>
          <w:color w:val="3B4259"/>
          <w:sz w:val="28"/>
        </w:rPr>
        <w:t>Appendix: Valuation Context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Current (NTM)</w:t>
            </w:r>
          </w:p>
        </w:tc>
        <w:tc>
          <w:tcPr>
            <w:tcW w:type="dxa" w:w="1728"/>
            <w:shd w:val="clear" w:color="auto" w:fill="3B4259"/>
          </w:tcPr>
          <w:p>
            <w:r>
              <w:rPr>
                <w:rFonts w:ascii="Calibri" w:hAnsi="Calibri"/>
                <w:b/>
                <w:color w:val="FFFFFF"/>
                <w:sz w:val="22"/>
              </w:rPr>
              <w:t>3 Months Ago</w:t>
            </w:r>
          </w:p>
        </w:tc>
        <w:tc>
          <w:tcPr>
            <w:tcW w:type="dxa" w:w="1728"/>
            <w:shd w:val="clear" w:color="auto" w:fill="3B4259"/>
          </w:tcPr>
          <w:p>
            <w:r>
              <w:rPr>
                <w:rFonts w:ascii="Calibri" w:hAnsi="Calibri"/>
                <w:b/>
                <w:color w:val="FFFFFF"/>
                <w:sz w:val="22"/>
              </w:rPr>
              <w:t>6 Months Ago</w:t>
            </w:r>
          </w:p>
        </w:tc>
        <w:tc>
          <w:tcPr>
            <w:tcW w:type="dxa" w:w="1728"/>
            <w:shd w:val="clear" w:color="auto" w:fill="3B4259"/>
          </w:tcPr>
          <w:p>
            <w:r>
              <w:rPr>
                <w:rFonts w:ascii="Calibri" w:hAnsi="Calibri"/>
                <w:b/>
                <w:color w:val="FFFFFF"/>
                <w:sz w:val="22"/>
              </w:rPr>
              <w:t>12 Months Ago</w:t>
            </w:r>
          </w:p>
        </w:tc>
      </w:tr>
      <w:tr>
        <w:tc>
          <w:tcPr>
            <w:tcW w:type="dxa" w:w="1728"/>
          </w:tcPr>
          <w:p>
            <w:r>
              <w:rPr>
                <w:rFonts w:ascii="Calibri" w:hAnsi="Calibri"/>
                <w:sz w:val="22"/>
              </w:rPr>
              <w:t>EV / EBITDA (NTM)</w:t>
            </w:r>
          </w:p>
        </w:tc>
        <w:tc>
          <w:tcPr>
            <w:tcW w:type="dxa" w:w="1728"/>
          </w:tcPr>
          <w:p>
            <w:r>
              <w:rPr>
                <w:rFonts w:ascii="Calibri" w:hAnsi="Calibri"/>
                <w:sz w:val="22"/>
              </w:rPr>
              <w:t>17.9x</w:t>
            </w:r>
          </w:p>
        </w:tc>
        <w:tc>
          <w:tcPr>
            <w:tcW w:type="dxa" w:w="1728"/>
          </w:tcPr>
          <w:p>
            <w:r>
              <w:rPr>
                <w:rFonts w:ascii="Calibri" w:hAnsi="Calibri"/>
                <w:sz w:val="22"/>
              </w:rPr>
              <w:t>17.0x</w:t>
            </w:r>
          </w:p>
        </w:tc>
        <w:tc>
          <w:tcPr>
            <w:tcW w:type="dxa" w:w="1728"/>
          </w:tcPr>
          <w:p>
            <w:r>
              <w:rPr>
                <w:rFonts w:ascii="Calibri" w:hAnsi="Calibri"/>
                <w:sz w:val="22"/>
              </w:rPr>
              <w:t>15.9x</w:t>
            </w:r>
          </w:p>
        </w:tc>
        <w:tc>
          <w:tcPr>
            <w:tcW w:type="dxa" w:w="1728"/>
          </w:tcPr>
          <w:p>
            <w:r>
              <w:rPr>
                <w:rFonts w:ascii="Calibri" w:hAnsi="Calibri"/>
                <w:sz w:val="22"/>
              </w:rPr>
              <w:t>15.4x</w:t>
            </w:r>
          </w:p>
        </w:tc>
      </w:tr>
      <w:tr>
        <w:tc>
          <w:tcPr>
            <w:tcW w:type="dxa" w:w="1728"/>
          </w:tcPr>
          <w:p>
            <w:r>
              <w:rPr>
                <w:rFonts w:ascii="Calibri" w:hAnsi="Calibri"/>
                <w:sz w:val="22"/>
              </w:rPr>
              <w:t>Price / Earnings (NTM)</w:t>
            </w:r>
          </w:p>
        </w:tc>
        <w:tc>
          <w:tcPr>
            <w:tcW w:type="dxa" w:w="1728"/>
          </w:tcPr>
          <w:p>
            <w:r>
              <w:rPr>
                <w:rFonts w:ascii="Calibri" w:hAnsi="Calibri"/>
                <w:sz w:val="22"/>
              </w:rPr>
              <w:t>34.6x</w:t>
            </w:r>
          </w:p>
        </w:tc>
        <w:tc>
          <w:tcPr>
            <w:tcW w:type="dxa" w:w="1728"/>
          </w:tcPr>
          <w:p>
            <w:r>
              <w:rPr>
                <w:rFonts w:ascii="Calibri" w:hAnsi="Calibri"/>
                <w:sz w:val="22"/>
              </w:rPr>
              <w:t>36.0x</w:t>
            </w:r>
          </w:p>
        </w:tc>
        <w:tc>
          <w:tcPr>
            <w:tcW w:type="dxa" w:w="1728"/>
          </w:tcPr>
          <w:p>
            <w:r>
              <w:rPr>
                <w:rFonts w:ascii="Calibri" w:hAnsi="Calibri"/>
                <w:sz w:val="22"/>
              </w:rPr>
              <w:t>32.9x</w:t>
            </w:r>
          </w:p>
        </w:tc>
        <w:tc>
          <w:tcPr>
            <w:tcW w:type="dxa" w:w="1728"/>
          </w:tcPr>
          <w:p>
            <w:r>
              <w:rPr>
                <w:rFonts w:ascii="Calibri" w:hAnsi="Calibri"/>
                <w:sz w:val="22"/>
              </w:rPr>
              <w:t>28.9x</w:t>
            </w:r>
          </w:p>
        </w:tc>
      </w:tr>
      <w:tr>
        <w:tc>
          <w:tcPr>
            <w:tcW w:type="dxa" w:w="1728"/>
          </w:tcPr>
          <w:p>
            <w:r>
              <w:rPr>
                <w:rFonts w:ascii="Calibri" w:hAnsi="Calibri"/>
                <w:sz w:val="22"/>
              </w:rPr>
              <w:t>Price / Book Value (NTM)</w:t>
            </w:r>
          </w:p>
        </w:tc>
        <w:tc>
          <w:tcPr>
            <w:tcW w:type="dxa" w:w="1728"/>
          </w:tcPr>
          <w:p>
            <w:r>
              <w:rPr>
                <w:rFonts w:ascii="Calibri" w:hAnsi="Calibri"/>
                <w:sz w:val="22"/>
              </w:rPr>
              <w:t>3.73x</w:t>
            </w:r>
          </w:p>
        </w:tc>
        <w:tc>
          <w:tcPr>
            <w:tcW w:type="dxa" w:w="1728"/>
          </w:tcPr>
          <w:p>
            <w:r>
              <w:rPr>
                <w:rFonts w:ascii="Calibri" w:hAnsi="Calibri"/>
                <w:sz w:val="22"/>
              </w:rPr>
              <w:t>3.39x</w:t>
            </w:r>
          </w:p>
        </w:tc>
        <w:tc>
          <w:tcPr>
            <w:tcW w:type="dxa" w:w="1728"/>
          </w:tcPr>
          <w:p>
            <w:r>
              <w:rPr>
                <w:rFonts w:ascii="Calibri" w:hAnsi="Calibri"/>
                <w:sz w:val="22"/>
              </w:rPr>
              <w:t>3.05x</w:t>
            </w:r>
          </w:p>
        </w:tc>
        <w:tc>
          <w:tcPr>
            <w:tcW w:type="dxa" w:w="1728"/>
          </w:tcPr>
          <w:p>
            <w:r>
              <w:rPr>
                <w:rFonts w:ascii="Calibri" w:hAnsi="Calibri"/>
                <w:sz w:val="22"/>
              </w:rPr>
              <w:t>2.82x</w:t>
            </w:r>
          </w:p>
        </w:tc>
      </w:tr>
      <w:tr>
        <w:tc>
          <w:tcPr>
            <w:tcW w:type="dxa" w:w="1728"/>
          </w:tcPr>
          <w:p>
            <w:r>
              <w:rPr>
                <w:rFonts w:ascii="Calibri" w:hAnsi="Calibri"/>
                <w:sz w:val="22"/>
              </w:rPr>
              <w:t>Stock Price (July 29, 2026)</w:t>
            </w:r>
          </w:p>
        </w:tc>
        <w:tc>
          <w:tcPr>
            <w:tcW w:type="dxa" w:w="1728"/>
          </w:tcPr>
          <w:p>
            <w:r>
              <w:rPr>
                <w:rFonts w:ascii="Calibri" w:hAnsi="Calibri"/>
                <w:sz w:val="22"/>
              </w:rPr>
              <w:t>$125.78</w:t>
            </w:r>
          </w:p>
        </w:tc>
        <w:tc>
          <w:tcPr>
            <w:tcW w:type="dxa" w:w="1728"/>
          </w:tcPr>
          <w:p>
            <w:r>
              <w:rPr>
                <w:rFonts w:ascii="Calibri" w:hAnsi="Calibri"/>
                <w:sz w:val="22"/>
              </w:rPr>
              <w:t>—</w:t>
            </w:r>
          </w:p>
        </w:tc>
        <w:tc>
          <w:tcPr>
            <w:tcW w:type="dxa" w:w="1728"/>
          </w:tcPr>
          <w:p>
            <w:r>
              <w:rPr>
                <w:rFonts w:ascii="Calibri" w:hAnsi="Calibri"/>
                <w:sz w:val="22"/>
              </w:rPr>
              <w:t>—</w:t>
            </w:r>
          </w:p>
        </w:tc>
        <w:tc>
          <w:tcPr>
            <w:tcW w:type="dxa" w:w="1728"/>
          </w:tcPr>
          <w:p>
            <w:r>
              <w:rPr>
                <w:rFonts w:ascii="Calibri" w:hAnsi="Calibri"/>
                <w:sz w:val="22"/>
              </w:rPr>
              <w:t>—</w:t>
            </w:r>
          </w:p>
        </w:tc>
      </w:tr>
      <w:tr>
        <w:tc>
          <w:tcPr>
            <w:tcW w:type="dxa" w:w="1728"/>
          </w:tcPr>
          <w:p>
            <w:r>
              <w:rPr>
                <w:rFonts w:ascii="Calibri" w:hAnsi="Calibri"/>
                <w:sz w:val="22"/>
              </w:rPr>
              <w:t>12-Month Price Return</w:t>
            </w:r>
          </w:p>
        </w:tc>
        <w:tc>
          <w:tcPr>
            <w:tcW w:type="dxa" w:w="1728"/>
          </w:tcPr>
          <w:p>
            <w:r>
              <w:rPr>
                <w:rFonts w:ascii="Calibri" w:hAnsi="Calibri"/>
                <w:sz w:val="22"/>
              </w:rPr>
              <w:t>+30.9%</w:t>
            </w:r>
          </w:p>
        </w:tc>
        <w:tc>
          <w:tcPr>
            <w:tcW w:type="dxa" w:w="1728"/>
          </w:tcPr>
          <w:p>
            <w:r>
              <w:rPr>
                <w:rFonts w:ascii="Calibri" w:hAnsi="Calibri"/>
                <w:sz w:val="22"/>
              </w:rPr>
              <w:t>—</w:t>
            </w:r>
          </w:p>
        </w:tc>
        <w:tc>
          <w:tcPr>
            <w:tcW w:type="dxa" w:w="1728"/>
          </w:tcPr>
          <w:p>
            <w:r>
              <w:rPr>
                <w:rFonts w:ascii="Calibri" w:hAnsi="Calibri"/>
                <w:sz w:val="22"/>
              </w:rPr>
              <w:t>—</w:t>
            </w:r>
          </w:p>
        </w:tc>
        <w:tc>
          <w:tcPr>
            <w:tcW w:type="dxa" w:w="1728"/>
          </w:tcPr>
          <w:p>
            <w:r>
              <w:rPr>
                <w:rFonts w:ascii="Calibri" w:hAnsi="Calibri"/>
                <w:sz w:val="22"/>
              </w:rPr>
              <w:t>—</w:t>
            </w:r>
          </w:p>
        </w:tc>
      </w:tr>
    </w:tbl>
    <w:p>
      <w:r>
        <w:rPr>
          <w:rFonts w:ascii="Calibri" w:hAnsi="Calibri"/>
          <w:color w:val="525866"/>
          <w:sz w:val="22"/>
        </w:rPr>
        <w:t>The 12-month re-rating from 15.4x to 17.9x EV/EBITDA (+16%) has been the primary driver of FRT’s +30.9% total return over the past year, with estimate revisions contributing minimally. At 17.9x NTM EV/EBITDA, FRT trades at a premium to the retail REIT peer group, reflecting its high-quality coastal portfolio, record leasing momentum, and the embedded growth from the signed-not-open pipeline. A miss on Q2 comparable POI growth could pressure the multiple, while a beat would validate the premium.</w:t>
      </w:r>
    </w:p>
    <w:p>
      <w:r>
        <w:rPr>
          <w:rFonts w:ascii="Calibri" w:hAnsi="Calibri"/>
          <w:i/>
          <w:color w:val="525866"/>
          <w:sz w:val="22"/>
        </w:rPr>
        <w:t>Source: Stock Performance Decomposition Data (Implied Platform).</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