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slr-earnings-predictions--2026-07-30"/>
    <w:p>
      <w:pPr>
        <w:pStyle w:val="Heading1"/>
      </w:pPr>
      <w:r>
        <w:t xml:space="preserve">FSLR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(diluted)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$2.74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(revenue)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~$1.06B vs. cons $1.06B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480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455M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2.6</m:t>
              </m:r>
              <m:r>
                <m:rPr>
                  <m:sty m:val="p"/>
                </m:rPr>
                <m:t>−</m:t>
              </m:r>
              <m:r>
                <m:t>2.8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2.7B) vs. cons ~$2.70B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reaffirm</w:t>
            </w:r>
            <w:r>
              <w:t xml:space="preserve"> </w:t>
            </w:r>
            <m:oMath>
              <m:r>
                <m:t>4.9</m:t>
              </m:r>
              <m:r>
                <m:rPr>
                  <m:sty m:val="p"/>
                </m:rPr>
                <m:t>−</m:t>
              </m:r>
              <m:r>
                <m:t>5.2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5.05B) vs. cons ~$5.15B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bookings / contracted backlog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pred backlog ~46-48 GW vs. 47.9 GW prior; weak net bookings vs. cons ~flat (as of 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FSLR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Washed-out positioning (stock -36% from June peak, 'worst chart', already-cut FY EPS from ~</w:t>
            </w:r>
            <m:oMath>
              <m:r>
                <m:t>22</m:t>
              </m:r>
              <m:r>
                <m:t>t</m:t>
              </m:r>
              <m:r>
                <m:t>o</m:t>
              </m:r>
              <m:r>
                <m:t> </m:t>
              </m:r>
            </m:oMath>
            <w:r>
              <w:t xml:space="preserve">17.5) plus a likely in-line/slight-beat quarter and reaffirmed FY guide should spark a modest relief pop on day 1. But the reaffirmation keeps an aggressive H2-loaded ramp intact (~$1.6-1.8B of the $2.6-2.8B EBITDA still due in H2), and the out-period math plus soft net bookings/OBBBA-FEOC demand overhang, Section 232 uncertainty and strong negative momentum pull estimates and price back down, fading most of the initial gain.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2026-07-29T19:10:39Z</dcterms:created>
  <dcterms:modified xsi:type="dcterms:W3CDTF">2026-07-29T19:10:39Z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