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slr-earnings-predictions--2026-07-30"/>
    <w:p>
      <w:pPr>
        <w:pStyle w:val="Heading1"/>
      </w:pPr>
      <w:r>
        <w:t xml:space="preserve">FSLR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455M (implied midpoint of $400-500M co. guide)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Sales/Revenue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1.07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~$5.05B (reiterate $4.9-5.2B range) vs. cons $5.1B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~$2.7B (reiterate</w:t>
            </w:r>
            <w:r>
              <w:t xml:space="preserve"> </w:t>
            </w:r>
            <m:oMath>
              <m:r>
                <m:t>2.6</m:t>
              </m:r>
              <m:r>
                <m:rPr>
                  <m:sty m:val="p"/>
                </m:rPr>
                <m:t>−</m:t>
              </m:r>
              <m:r>
                <m:t>2.8</m:t>
              </m:r>
              <m:r>
                <m:t>B</m:t>
              </m:r>
              <m:r>
                <m:t>r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2.68B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Contracted Backlog (GW/$B)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~49GW/</w:t>
            </w:r>
            <m:oMath>
              <m:r>
                <m:t>14.7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b</m:t>
              </m:r>
              <m:r>
                <m:t>a</m:t>
              </m:r>
              <m:r>
                <m:t>s</m:t>
              </m:r>
              <m:r>
                <m:t>e</m:t>
              </m:r>
              <m:r>
                <m:t>47.9</m:t>
              </m:r>
              <m:r>
                <m:t>G</m:t>
              </m:r>
              <m:r>
                <m:t>W</m:t>
              </m:r>
              <m:r>
                <m:rPr>
                  <m:sty m:val="p"/>
                </m:rPr>
                <m:t>/</m:t>
              </m:r>
            </m:oMath>
            <w:r>
              <w:t xml:space="preserve">14.4B (as of 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FSLR has beaten its own EBITDA guide range in each of the last several quarters and enters this print heavily oversold (down ~36% from the June high) with sell-side targets far above the current price, setting up a likely relief bounce on a Q2 beat-and-reiterate. But follow-through is unlikely: the Section 232 polysilicon ruling remains unresolved into early August and becomes the next binary catalyst, the securities litigation overhang (lead-plaintiff deadline Aug 24) keeps a lid on re-rating, and OBBBA/FEOC sourcing ambiguity plus heavy reliance on 45X credits (~75% of gross margin per Bernstein's bear case) make analysts cautious about raising FY27 out-year estimates even after an in-line-to-better Q2, so early gains should fade as the market re-focuses on unresolved policy risk and a technically damaged chart.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2026-07-29T19:11:42Z</dcterms:created>
  <dcterms:modified xsi:type="dcterms:W3CDTF">2026-07-29T19:11:42Z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