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8f0e878ca65c699dea9839d7d1bd982bcdfac9"/>
    <w:p>
      <w:pPr>
        <w:pStyle w:val="Heading1"/>
      </w:pPr>
      <w:r>
        <w:t xml:space="preserve">First Solar (NASDAQ: FSLR) — 2Q26 Earnings Preview</w:t>
      </w:r>
    </w:p>
    <w:p>
      <w:pPr>
        <w:pStyle w:val="FirstParagraph"/>
      </w:pPr>
      <w:r>
        <w:rPr>
          <w:b/>
          <w:bCs/>
        </w:rPr>
        <w:t xml:space="preserve">Report date:</w:t>
      </w:r>
      <w:r>
        <w:t xml:space="preserve"> </w:t>
      </w:r>
      <w:r>
        <w:t xml:space="preserve">Thursday, July 30, 2026, after market close</w:t>
      </w:r>
      <w:r>
        <w:br/>
      </w:r>
      <w:r>
        <w:rPr>
          <w:b/>
          <w:bCs/>
        </w:rPr>
        <w:t xml:space="preserve">Event:</w:t>
      </w:r>
      <w:r>
        <w:t xml:space="preserve"> </w:t>
      </w:r>
      <w:r>
        <w:t xml:space="preserve">2026Q2 earnings call</w:t>
      </w:r>
      <w:r>
        <w:br/>
      </w:r>
      <w:r>
        <w:rPr>
          <w:b/>
          <w:bCs/>
        </w:rPr>
        <w:t xml:space="preserve">Stock context:</w:t>
      </w:r>
      <w:r>
        <w:t xml:space="preserve"> </w:t>
      </w:r>
      <w:r>
        <w:t xml:space="preserve">FSLR closed July 29 at</w:t>
      </w:r>
      <w:r>
        <w:t xml:space="preserve"> </w:t>
      </w:r>
      <w:r>
        <w:rPr>
          <w:b/>
          <w:bCs/>
        </w:rPr>
        <w:t xml:space="preserve">$203.71</w:t>
      </w:r>
      <w:r>
        <w:t xml:space="preserve">, down roughly</w:t>
      </w:r>
      <w:r>
        <w:t xml:space="preserve"> </w:t>
      </w:r>
      <w:r>
        <w:rPr>
          <w:b/>
          <w:bCs/>
        </w:rPr>
        <w:t xml:space="preserve">22% year-to-date</w:t>
      </w:r>
      <w:r>
        <w:t xml:space="preserve"> </w:t>
      </w:r>
      <w:r>
        <w:t xml:space="preserve">and</w:t>
      </w:r>
      <w:r>
        <w:t xml:space="preserve"> </w:t>
      </w:r>
      <w:r>
        <w:rPr>
          <w:b/>
          <w:bCs/>
        </w:rPr>
        <w:t xml:space="preserve">36% from its June 3 closing high of $318.25</w:t>
      </w:r>
      <w:r>
        <w:t xml:space="preserve">. The setup therefore appears less about a simple quarter-on-quarter beat and more about whether management can reaffirm the durability of its 2026 earnings, policy advantages, and contracted demand.</w:t>
      </w:r>
    </w:p>
    <w:bookmarkStart w:id="9" w:name="X1e8f59d0de1e992422ca4ba6bb28cf507b2e8c2"/>
    <w:p>
      <w:pPr>
        <w:pStyle w:val="Heading2"/>
      </w:pPr>
      <w:r>
        <w:t xml:space="preserve">Investment view: guidance and execution matter more than headline EPS</w:t>
      </w:r>
    </w:p>
    <w:p>
      <w:pPr>
        <w:pStyle w:val="FirstParagraph"/>
      </w:pPr>
      <w:r>
        <w:t xml:space="preserve">First Solar enters the quarter with a strong Q1 print, substantial contracted backlog, a net-cash balance sheet, and a U.S.-manufacturing advantage. But the stock’s recent weakness signals investor concern over the durability of U.S. solar demand, tariffs and trade-policy uncertainty, project delays, and the quality/sustainability of earnings that are materially supported by Section 45X manufacturing tax credits.</w:t>
      </w:r>
    </w:p>
    <w:p>
      <w:pPr>
        <w:pStyle w:val="BodyText"/>
      </w:pPr>
      <w:r>
        <w:t xml:space="preserve">The central question for 2Q is straightforward:</w:t>
      </w:r>
    </w:p>
    <w:p>
      <w:pPr>
        <w:pStyle w:val="BlockText"/>
      </w:pPr>
      <w:r>
        <w:rPr>
          <w:b/>
          <w:bCs/>
        </w:rPr>
        <w:t xml:space="preserve">Can First Solar demonstrate that it is tracking to its unchanged full-year outlook despite policy volatility, project-financing pressure, and potentially less favorable international-manufacturing economics?</w:t>
      </w:r>
    </w:p>
    <w:p>
      <w:pPr>
        <w:pStyle w:val="FirstParagraph"/>
      </w:pPr>
      <w:r>
        <w:t xml:space="preserve">A reiteration of full-year guidance, accompanied by solid bookings and no deterioration in expected factory utilization or customer delivery schedules, would likely be the most important positive outcome. Conversely, a guide reduction—or commentary that customers are delaying projects, cancelling contracted volume, or pushing deliveries—would likely outweigh a near-term earnings beat.</w:t>
      </w:r>
    </w:p>
    <w:p>
      <w:r>
        <w:pict>
          <v:rect style="width:0;height:1.5pt" o:hralign="center" o:hrstd="t" o:hr="t"/>
        </w:pict>
      </w:r>
    </w:p>
    <w:bookmarkEnd w:id="9"/>
    <w:bookmarkStart w:id="10" w:name="X7c0c297e932e70830c0402268d7030c2e67362e"/>
    <w:p>
      <w:pPr>
        <w:pStyle w:val="Heading2"/>
      </w:pPr>
      <w:r>
        <w:t xml:space="preserve">What the company has already told investors to expect</w:t>
      </w:r>
    </w:p>
    <w:p>
      <w:pPr>
        <w:pStyle w:val="FirstParagraph"/>
      </w:pPr>
      <w:r>
        <w:t xml:space="preserve">At Q1 results, First Solar explicitly previewed the core operating inputs for Q2:</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2Q26 company outlook</w:t>
            </w:r>
          </w:p>
        </w:tc>
      </w:tr>
      <w:tr>
        <w:tc>
          <w:tcPr/>
          <w:p>
            <w:pPr>
              <w:pStyle w:val="Compact"/>
            </w:pPr>
            <w:r>
              <w:t xml:space="preserve">Module volume sold</w:t>
            </w:r>
          </w:p>
        </w:tc>
        <w:tc>
          <w:tcPr/>
          <w:p>
            <w:pPr>
              <w:pStyle w:val="Compact"/>
              <w:jc w:val="right"/>
            </w:pPr>
            <w:r>
              <w:rPr>
                <w:b/>
                <w:bCs/>
              </w:rPr>
              <w:t xml:space="preserve">3.4 GW–4.0 GW</w:t>
            </w:r>
          </w:p>
        </w:tc>
      </w:tr>
      <w:tr>
        <w:tc>
          <w:tcPr/>
          <w:p>
            <w:pPr>
              <w:pStyle w:val="Compact"/>
            </w:pPr>
            <w:r>
              <w:t xml:space="preserve">Section 45X tax credits</w:t>
            </w:r>
          </w:p>
        </w:tc>
        <w:tc>
          <w:tcPr/>
          <w:p>
            <w:pPr>
              <w:pStyle w:val="Compact"/>
              <w:jc w:val="right"/>
            </w:pPr>
            <m:oMath>
              <m:r>
                <m:t>330</m:t>
              </m:r>
              <m:r>
                <m:t>m</m:t>
              </m:r>
              <m:r>
                <m:t>i</m:t>
              </m:r>
              <m:r>
                <m:t>l</m:t>
              </m:r>
              <m:r>
                <m:t>l</m:t>
              </m:r>
              <m:r>
                <m:t>i</m:t>
              </m:r>
              <m:r>
                <m:t>o</m:t>
              </m:r>
              <m:r>
                <m:t>n</m:t>
              </m:r>
              <m:r>
                <m:rPr>
                  <m:sty m:val="p"/>
                </m:rPr>
                <m:t>–</m:t>
              </m:r>
            </m:oMath>
            <w:r>
              <w:rPr>
                <w:b/>
                <w:bCs/>
              </w:rPr>
              <w:t xml:space="preserve">400 million</w:t>
            </w:r>
          </w:p>
        </w:tc>
      </w:tr>
      <w:tr>
        <w:tc>
          <w:tcPr/>
          <w:p>
            <w:pPr>
              <w:pStyle w:val="Compact"/>
            </w:pPr>
            <w:r>
              <w:t xml:space="preserve">Adjusted EBITDA</w:t>
            </w:r>
          </w:p>
        </w:tc>
        <w:tc>
          <w:tcPr/>
          <w:p>
            <w:pPr>
              <w:pStyle w:val="Compact"/>
              <w:jc w:val="right"/>
            </w:pPr>
            <m:oMath>
              <m:r>
                <m:t>400</m:t>
              </m:r>
              <m:r>
                <m:t>m</m:t>
              </m:r>
              <m:r>
                <m:t>i</m:t>
              </m:r>
              <m:r>
                <m:t>l</m:t>
              </m:r>
              <m:r>
                <m:t>l</m:t>
              </m:r>
              <m:r>
                <m:t>i</m:t>
              </m:r>
              <m:r>
                <m:t>o</m:t>
              </m:r>
              <m:r>
                <m:t>n</m:t>
              </m:r>
              <m:r>
                <m:rPr>
                  <m:sty m:val="p"/>
                </m:rPr>
                <m:t>–</m:t>
              </m:r>
            </m:oMath>
            <w:r>
              <w:rPr>
                <w:b/>
                <w:bCs/>
              </w:rPr>
              <w:t xml:space="preserve">500 million</w:t>
            </w:r>
          </w:p>
        </w:tc>
      </w:tr>
    </w:tbl>
    <w:p>
      <w:pPr>
        <w:pStyle w:val="BodyText"/>
      </w:pPr>
      <w:r>
        <w:t xml:space="preserve">This compares with Q1 revenue of</w:t>
      </w:r>
      <w:r>
        <w:t xml:space="preserve"> </w:t>
      </w:r>
      <m:oMath>
        <m:r>
          <m:t>1.04</m:t>
        </m:r>
        <m:r>
          <m:t>b</m:t>
        </m:r>
        <m:r>
          <m:t>i</m:t>
        </m:r>
        <m:r>
          <m:t>l</m:t>
        </m:r>
        <m:r>
          <m:t>l</m:t>
        </m:r>
        <m:r>
          <m:t>i</m:t>
        </m:r>
        <m:r>
          <m:t>o</m:t>
        </m:r>
        <m:r>
          <m:t>n</m:t>
        </m:r>
        <m:r>
          <m:rPr>
            <m:sty m:val="p"/>
          </m:rPr>
          <m:t>*</m:t>
        </m:r>
        <m:r>
          <m:rPr>
            <m:sty m:val="p"/>
          </m:rPr>
          <m:t>*</m:t>
        </m:r>
        <m:r>
          <m:rPr>
            <m:sty m:val="p"/>
          </m:rPr>
          <m:t>,</m:t>
        </m:r>
        <m:r>
          <m:t>d</m:t>
        </m:r>
        <m:r>
          <m:t>i</m:t>
        </m:r>
        <m:r>
          <m:t>l</m:t>
        </m:r>
        <m:r>
          <m:t>u</m:t>
        </m:r>
        <m:r>
          <m:t>t</m:t>
        </m:r>
        <m:r>
          <m:t>e</m:t>
        </m:r>
        <m:r>
          <m:t>d</m:t>
        </m:r>
        <m:r>
          <m:t>E</m:t>
        </m:r>
        <m:r>
          <m:t>P</m:t>
        </m:r>
        <m:r>
          <m:t>S</m:t>
        </m:r>
        <m:r>
          <m:t>o</m:t>
        </m:r>
        <m:r>
          <m:t>f</m:t>
        </m:r>
        <m:r>
          <m:rPr>
            <m:sty m:val="p"/>
          </m:rPr>
          <m:t>*</m:t>
        </m:r>
        <m:r>
          <m:rPr>
            <m:sty m:val="p"/>
          </m:rPr>
          <m:t>*</m:t>
        </m:r>
      </m:oMath>
      <w:r>
        <w:rPr>
          <w:b/>
          <w:bCs/>
        </w:rPr>
        <w:t xml:space="preserve">3.22</w:t>
      </w:r>
      <w:r>
        <w:t xml:space="preserve">, and adjusted EBITDA of</w:t>
      </w:r>
      <w:r>
        <w:t xml:space="preserve"> </w:t>
      </w:r>
      <m:oMath>
        <m:r>
          <m:t>520</m:t>
        </m:r>
        <m:r>
          <m:t>m</m:t>
        </m:r>
        <m:r>
          <m:t>i</m:t>
        </m:r>
        <m:r>
          <m:t>l</m:t>
        </m:r>
        <m:r>
          <m:t>l</m:t>
        </m:r>
        <m:r>
          <m:t>i</m:t>
        </m:r>
        <m:r>
          <m:t>o</m:t>
        </m:r>
        <m:r>
          <m:t>n</m:t>
        </m:r>
        <m:r>
          <m:rPr>
            <m:sty m:val="p"/>
          </m:rPr>
          <m:t>*</m:t>
        </m:r>
        <m:r>
          <m:rPr>
            <m:sty m:val="p"/>
          </m:rPr>
          <m:t>*</m:t>
        </m:r>
        <m:r>
          <m:rPr>
            <m:sty m:val="p"/>
          </m:rPr>
          <m:t>.</m:t>
        </m:r>
        <m:r>
          <m:t>Q</m:t>
        </m:r>
        <m:r>
          <m:t>1</m:t>
        </m:r>
        <m:r>
          <m:t>m</m:t>
        </m:r>
        <m:r>
          <m:t>o</m:t>
        </m:r>
        <m:r>
          <m:t>d</m:t>
        </m:r>
        <m:r>
          <m:t>u</m:t>
        </m:r>
        <m:r>
          <m:t>l</m:t>
        </m:r>
        <m:r>
          <m:t>e</m:t>
        </m:r>
        <m:r>
          <m:t>r</m:t>
        </m:r>
        <m:r>
          <m:t>e</m:t>
        </m:r>
        <m:r>
          <m:t>v</m:t>
        </m:r>
        <m:r>
          <m:t>e</m:t>
        </m:r>
        <m:r>
          <m:t>n</m:t>
        </m:r>
        <m:r>
          <m:t>u</m:t>
        </m:r>
        <m:r>
          <m:t>e</m:t>
        </m:r>
        <m:r>
          <m:t>a</m:t>
        </m:r>
        <m:r>
          <m:t>n</m:t>
        </m:r>
        <m:r>
          <m:t>d</m:t>
        </m:r>
        <m:r>
          <m:t>e</m:t>
        </m:r>
        <m:r>
          <m:t>a</m:t>
        </m:r>
        <m:r>
          <m:t>r</m:t>
        </m:r>
        <m:r>
          <m:t>n</m:t>
        </m:r>
        <m:r>
          <m:t>i</m:t>
        </m:r>
        <m:r>
          <m:t>n</m:t>
        </m:r>
        <m:r>
          <m:t>g</m:t>
        </m:r>
        <m:r>
          <m:t>s</m:t>
        </m:r>
        <m:r>
          <m:t>b</m:t>
        </m:r>
        <m:r>
          <m:t>e</m:t>
        </m:r>
        <m:r>
          <m:t>n</m:t>
        </m:r>
        <m:r>
          <m:t>e</m:t>
        </m:r>
        <m:r>
          <m:t>f</m:t>
        </m:r>
        <m:r>
          <m:t>i</m:t>
        </m:r>
        <m:r>
          <m:t>t</m:t>
        </m:r>
        <m:r>
          <m:t>e</m:t>
        </m:r>
        <m:r>
          <m:t>d</m:t>
        </m:r>
        <m:r>
          <m:t>f</m:t>
        </m:r>
        <m:r>
          <m:t>r</m:t>
        </m:r>
        <m:r>
          <m:t>o</m:t>
        </m:r>
        <m:r>
          <m:t>m</m:t>
        </m:r>
        <m:r>
          <m:t>i</m:t>
        </m:r>
        <m:r>
          <m:t>n</m:t>
        </m:r>
        <m:r>
          <m:t>c</m:t>
        </m:r>
        <m:r>
          <m:t>r</m:t>
        </m:r>
        <m:r>
          <m:t>e</m:t>
        </m:r>
        <m:r>
          <m:t>a</m:t>
        </m:r>
        <m:r>
          <m:t>s</m:t>
        </m:r>
        <m:r>
          <m:t>e</m:t>
        </m:r>
        <m:r>
          <m:t>d</m:t>
        </m:r>
        <m:r>
          <m:t>t</m:t>
        </m:r>
        <m:r>
          <m:t>h</m:t>
        </m:r>
        <m:r>
          <m:t>i</m:t>
        </m:r>
        <m:r>
          <m:t>r</m:t>
        </m:r>
        <m:r>
          <m:t>d</m:t>
        </m:r>
        <m:r>
          <m:rPr>
            <m:sty m:val="p"/>
          </m:rPr>
          <m:t>−</m:t>
        </m:r>
        <m:r>
          <m:t>p</m:t>
        </m:r>
        <m:r>
          <m:t>a</m:t>
        </m:r>
        <m:r>
          <m:t>r</m:t>
        </m:r>
        <m:r>
          <m:t>t</m:t>
        </m:r>
        <m:r>
          <m:t>y</m:t>
        </m:r>
        <m:r>
          <m:t>m</m:t>
        </m:r>
        <m:r>
          <m:t>o</m:t>
        </m:r>
        <m:r>
          <m:t>d</m:t>
        </m:r>
        <m:r>
          <m:t>u</m:t>
        </m:r>
        <m:r>
          <m:t>l</m:t>
        </m:r>
        <m:r>
          <m:t>e</m:t>
        </m:r>
        <m:r>
          <m:t>v</m:t>
        </m:r>
        <m:r>
          <m:t>o</m:t>
        </m:r>
        <m:r>
          <m:t>l</m:t>
        </m:r>
        <m:r>
          <m:t>u</m:t>
        </m:r>
        <m:r>
          <m:t>m</m:t>
        </m:r>
        <m:r>
          <m:t>e</m:t>
        </m:r>
        <m:r>
          <m:t>a</m:t>
        </m:r>
        <m:r>
          <m:t>n</m:t>
        </m:r>
        <m:r>
          <m:t>d</m:t>
        </m:r>
        <m:r>
          <m:t>a</m:t>
        </m:r>
        <m:r>
          <m:t>45</m:t>
        </m:r>
        <m:r>
          <m:t>X</m:t>
        </m:r>
        <m:r>
          <m:t>c</m:t>
        </m:r>
        <m:r>
          <m:t>r</m:t>
        </m:r>
        <m:r>
          <m:t>e</m:t>
        </m:r>
        <m:r>
          <m:t>d</m:t>
        </m:r>
        <m:r>
          <m:t>i</m:t>
        </m:r>
        <m:r>
          <m:t>t</m:t>
        </m:r>
        <m:r>
          <m:t>c</m:t>
        </m:r>
        <m:r>
          <m:t>o</m:t>
        </m:r>
        <m:r>
          <m:t>n</m:t>
        </m:r>
        <m:r>
          <m:t>t</m:t>
        </m:r>
        <m:r>
          <m:t>r</m:t>
        </m:r>
        <m:r>
          <m:t>i</m:t>
        </m:r>
        <m:r>
          <m:t>b</m:t>
        </m:r>
        <m:r>
          <m:t>u</m:t>
        </m:r>
        <m:r>
          <m:t>t</m:t>
        </m:r>
        <m:r>
          <m:t>i</m:t>
        </m:r>
        <m:r>
          <m:t>o</m:t>
        </m:r>
        <m:r>
          <m:t>n</m:t>
        </m:r>
        <m:r>
          <m:t>o</m:t>
        </m:r>
        <m:r>
          <m:t>f</m:t>
        </m:r>
        <m:r>
          <m:rPr>
            <m:sty m:val="p"/>
          </m:rPr>
          <m:t>*</m:t>
        </m:r>
        <m:r>
          <m:rPr>
            <m:sty m:val="p"/>
          </m:rPr>
          <m:t>*</m:t>
        </m:r>
      </m:oMath>
      <w:r>
        <w:rPr>
          <w:b/>
          <w:bCs/>
        </w:rPr>
        <w:t xml:space="preserve">418 million</w:t>
      </w:r>
      <w:r>
        <w:t xml:space="preserve"> </w:t>
      </w:r>
      <w:r>
        <w:t xml:space="preserve">recognized as a reduction of cost of sales.</w:t>
      </w:r>
    </w:p>
    <w:p>
      <w:pPr>
        <w:pStyle w:val="BodyText"/>
      </w:pPr>
      <w:r>
        <w:t xml:space="preserve">The fact that Q2 adjusted-EBITDA guidance was below Q1’s actual result despite higher expected shipment volume suggests investors should focus on</w:t>
      </w:r>
      <w:r>
        <w:t xml:space="preserve"> </w:t>
      </w:r>
      <w:r>
        <w:rPr>
          <w:b/>
          <w:bCs/>
        </w:rPr>
        <w:t xml:space="preserve">module mix, average selling price, manufacturing utilization, cost absorption, and the timing of 45X credits</w:t>
      </w:r>
      <w:r>
        <w:t xml:space="preserve">, rather than assuming volume growth translates one-for-one into profit growth.</w:t>
      </w:r>
    </w:p>
    <w:p>
      <w:r>
        <w:pict>
          <v:rect style="width:0;height:1.5pt" o:hralign="center" o:hrstd="t" o:hr="t"/>
        </w:pict>
      </w:r>
    </w:p>
    <w:bookmarkEnd w:id="10"/>
    <w:bookmarkStart w:id="11" w:name="X885083fd0d0dddadb257cbdbb296e8630afe083"/>
    <w:p>
      <w:pPr>
        <w:pStyle w:val="Heading2"/>
      </w:pPr>
      <w:r>
        <w:t xml:space="preserve">The four issues that will determine the reaction</w:t>
      </w:r>
    </w:p>
    <w:bookmarkEnd w:id="11"/>
    <w:bookmarkStart w:id="12" w:name="X6bda43cfb98288a0ac4bbd2bd9b19f1a36737f0"/>
    <w:p>
      <w:pPr>
        <w:pStyle w:val="Heading2"/>
      </w:pPr>
      <w:r>
        <w:t xml:space="preserve">1. Full-year 2026 guidance: the most important output</w:t>
      </w:r>
    </w:p>
    <w:p>
      <w:pPr>
        <w:pStyle w:val="FirstParagraph"/>
      </w:pPr>
      <w:r>
        <w:t xml:space="preserve">Management reaffirmed the following outlook in April: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w:t>
            </w:r>
          </w:p>
        </w:tc>
        <w:tc>
          <w:tcPr/>
          <w:p>
            <w:pPr>
              <w:pStyle w:val="Compact"/>
              <w:jc w:val="right"/>
            </w:pPr>
            <w:r>
              <w:t xml:space="preserve">Range</w:t>
            </w:r>
          </w:p>
        </w:tc>
      </w:tr>
      <w:tr>
        <w:tc>
          <w:tcPr/>
          <w:p>
            <w:pPr>
              <w:pStyle w:val="Compact"/>
            </w:pPr>
            <w:r>
              <w:t xml:space="preserve">Volume sold</w:t>
            </w:r>
          </w:p>
        </w:tc>
        <w:tc>
          <w:tcPr/>
          <w:p>
            <w:pPr>
              <w:pStyle w:val="Compact"/>
              <w:jc w:val="right"/>
            </w:pPr>
            <w:r>
              <w:rPr>
                <w:b/>
                <w:bCs/>
              </w:rPr>
              <w:t xml:space="preserve">17.0 GW–18.2 GW</w:t>
            </w:r>
          </w:p>
        </w:tc>
      </w:tr>
      <w:tr>
        <w:tc>
          <w:tcPr/>
          <w:p>
            <w:pPr>
              <w:pStyle w:val="Compact"/>
            </w:pPr>
            <w:r>
              <w:t xml:space="preserve">Net sales</w:t>
            </w:r>
          </w:p>
        </w:tc>
        <w:tc>
          <w:tcPr/>
          <w:p>
            <w:pPr>
              <w:pStyle w:val="Compact"/>
              <w:jc w:val="right"/>
            </w:pPr>
            <m:oMath>
              <m:r>
                <m:t>4.9</m:t>
              </m:r>
              <m:r>
                <m:t>B</m:t>
              </m:r>
              <m:r>
                <m:rPr>
                  <m:sty m:val="p"/>
                </m:rPr>
                <m:t>–</m:t>
              </m:r>
            </m:oMath>
            <w:r>
              <w:rPr>
                <w:b/>
                <w:bCs/>
              </w:rPr>
              <w:t xml:space="preserve">5.2B</w:t>
            </w:r>
          </w:p>
        </w:tc>
      </w:tr>
      <w:tr>
        <w:tc>
          <w:tcPr/>
          <w:p>
            <w:pPr>
              <w:pStyle w:val="Compact"/>
            </w:pPr>
            <w:r>
              <w:t xml:space="preserve">Gross profit</w:t>
            </w:r>
          </w:p>
        </w:tc>
        <w:tc>
          <w:tcPr/>
          <w:p>
            <w:pPr>
              <w:pStyle w:val="Compact"/>
              <w:jc w:val="right"/>
            </w:pPr>
            <m:oMath>
              <m:r>
                <m:t>2.4</m:t>
              </m:r>
              <m:r>
                <m:t>B</m:t>
              </m:r>
              <m:r>
                <m:rPr>
                  <m:sty m:val="p"/>
                </m:rPr>
                <m:t>–</m:t>
              </m:r>
            </m:oMath>
            <w:r>
              <w:rPr>
                <w:b/>
                <w:bCs/>
              </w:rPr>
              <w:t xml:space="preserve">2.6B</w:t>
            </w:r>
          </w:p>
        </w:tc>
      </w:tr>
      <w:tr>
        <w:tc>
          <w:tcPr/>
          <w:p>
            <w:pPr>
              <w:pStyle w:val="Compact"/>
            </w:pPr>
            <w:r>
              <w:t xml:space="preserve">Operating expenses</w:t>
            </w:r>
          </w:p>
        </w:tc>
        <w:tc>
          <w:tcPr/>
          <w:p>
            <w:pPr>
              <w:pStyle w:val="Compact"/>
              <w:jc w:val="right"/>
            </w:pPr>
            <m:oMath>
              <m:r>
                <m:t>610</m:t>
              </m:r>
              <m:r>
                <m:t>M</m:t>
              </m:r>
              <m:r>
                <m:rPr>
                  <m:sty m:val="p"/>
                </m:rPr>
                <m:t>–</m:t>
              </m:r>
            </m:oMath>
            <w:r>
              <w:rPr>
                <w:b/>
                <w:bCs/>
              </w:rPr>
              <w:t xml:space="preserve">635M</w:t>
            </w:r>
          </w:p>
        </w:tc>
      </w:tr>
      <w:tr>
        <w:tc>
          <w:tcPr/>
          <w:p>
            <w:pPr>
              <w:pStyle w:val="Compact"/>
            </w:pPr>
            <w:r>
              <w:t xml:space="preserve">Adjusted EBITDA</w:t>
            </w:r>
          </w:p>
        </w:tc>
        <w:tc>
          <w:tcPr/>
          <w:p>
            <w:pPr>
              <w:pStyle w:val="Compact"/>
              <w:jc w:val="right"/>
            </w:pPr>
            <m:oMath>
              <m:r>
                <m:t>2.6</m:t>
              </m:r>
              <m:r>
                <m:t>B</m:t>
              </m:r>
              <m:r>
                <m:rPr>
                  <m:sty m:val="p"/>
                </m:rPr>
                <m:t>–</m:t>
              </m:r>
            </m:oMath>
            <w:r>
              <w:rPr>
                <w:b/>
                <w:bCs/>
              </w:rPr>
              <w:t xml:space="preserve">2.8B</w:t>
            </w:r>
          </w:p>
        </w:tc>
      </w:tr>
      <w:tr>
        <w:tc>
          <w:tcPr/>
          <w:p>
            <w:pPr>
              <w:pStyle w:val="Compact"/>
            </w:pPr>
            <w:r>
              <w:t xml:space="preserve">Capital expenditures</w:t>
            </w:r>
          </w:p>
        </w:tc>
        <w:tc>
          <w:tcPr/>
          <w:p>
            <w:pPr>
              <w:pStyle w:val="Compact"/>
              <w:jc w:val="right"/>
            </w:pPr>
            <m:oMath>
              <m:r>
                <m:t>0.8</m:t>
              </m:r>
              <m:r>
                <m:t>B</m:t>
              </m:r>
              <m:r>
                <m:rPr>
                  <m:sty m:val="p"/>
                </m:rPr>
                <m:t>–</m:t>
              </m:r>
            </m:oMath>
            <w:r>
              <w:rPr>
                <w:b/>
                <w:bCs/>
              </w:rPr>
              <w:t xml:space="preserve">1.0B</w:t>
            </w:r>
          </w:p>
        </w:tc>
      </w:tr>
      <w:tr>
        <w:tc>
          <w:tcPr/>
          <w:p>
            <w:pPr>
              <w:pStyle w:val="Compact"/>
            </w:pPr>
            <w:r>
              <w:t xml:space="preserve">Year-end net cash</w:t>
            </w:r>
          </w:p>
        </w:tc>
        <w:tc>
          <w:tcPr/>
          <w:p>
            <w:pPr>
              <w:pStyle w:val="Compact"/>
              <w:jc w:val="right"/>
            </w:pPr>
            <m:oMath>
              <m:r>
                <m:t>1.7</m:t>
              </m:r>
              <m:r>
                <m:t>B</m:t>
              </m:r>
              <m:r>
                <m:rPr>
                  <m:sty m:val="p"/>
                </m:rPr>
                <m:t>–</m:t>
              </m:r>
            </m:oMath>
            <w:r>
              <w:rPr>
                <w:b/>
                <w:bCs/>
              </w:rPr>
              <w:t xml:space="preserve">2.3B</w:t>
            </w:r>
          </w:p>
        </w:tc>
      </w:tr>
    </w:tbl>
    <w:p>
      <w:pPr>
        <w:pStyle w:val="BodyText"/>
      </w:pPr>
      <w:r>
        <w:t xml:space="preserve">A reaffirmation would indicate that the company sees no meaningful change in contracted delivery schedules, policy assumptions, or customer execution. The company’s Q1 outlook explicitly assumed the then-current U.S. policy environment would persist and that permitting timing would remain broadly consistent with history. That creates sensitivity to any discussion of project delays, tariffs, changes in domestic-content economics, or financing availability for utility-scale projects.</w:t>
      </w:r>
    </w:p>
    <w:p>
      <w:pPr>
        <w:pStyle w:val="BodyText"/>
      </w:pPr>
      <w:r>
        <w:rPr>
          <w:b/>
          <w:bCs/>
        </w:rPr>
        <w:t xml:space="preserve">What matters most:</w:t>
      </w:r>
      <w:r>
        <w:t xml:space="preserve"> </w:t>
      </w:r>
      <w:r>
        <w:t xml:space="preserve">not merely whether guidance is maintained, but whether it is maintained</w:t>
      </w:r>
      <w:r>
        <w:t xml:space="preserve"> </w:t>
      </w:r>
      <w:r>
        <w:rPr>
          <w:b/>
          <w:bCs/>
        </w:rPr>
        <w:t xml:space="preserve">cleanly</w:t>
      </w:r>
      <w:r>
        <w:t xml:space="preserve">. Investors should listen for changes in the assumptions underneath the range—especially expected utilization, shipment timing, international-facility economics, and anticipated 45X-credit realization.</w:t>
      </w:r>
    </w:p>
    <w:p>
      <w:r>
        <w:pict>
          <v:rect style="width:0;height:1.5pt" o:hralign="center" o:hrstd="t" o:hr="t"/>
        </w:pict>
      </w:r>
    </w:p>
    <w:bookmarkEnd w:id="12"/>
    <w:bookmarkStart w:id="13" w:name="Xb6a069628be0974da064b1fef16ef4351c2cb57"/>
    <w:p>
      <w:pPr>
        <w:pStyle w:val="Heading2"/>
      </w:pPr>
      <w:r>
        <w:t xml:space="preserve">2. Bookings and backlog: is demand still converting?</w:t>
      </w:r>
    </w:p>
    <w:p>
      <w:pPr>
        <w:pStyle w:val="FirstParagraph"/>
      </w:pPr>
      <w:r>
        <w:t xml:space="preserve">At March 31, First Solar had</w:t>
      </w:r>
      <w:r>
        <w:t xml:space="preserve"> </w:t>
      </w:r>
      <w:r>
        <w:rPr>
          <w:b/>
          <w:bCs/>
        </w:rPr>
        <w:t xml:space="preserve">47.9 GW</w:t>
      </w:r>
      <w:r>
        <w:t xml:space="preserve"> </w:t>
      </w:r>
      <w:r>
        <w:t xml:space="preserve">of contracted module-sales backlog, representing an aggregate transaction price of</w:t>
      </w:r>
      <w:r>
        <w:t xml:space="preserve"> </w:t>
      </w:r>
      <w:r>
        <w:rPr>
          <w:b/>
          <w:bCs/>
        </w:rPr>
        <w:t xml:space="preserve">$14.4 billion</w:t>
      </w:r>
      <w:r>
        <w:t xml:space="preserve"> </w:t>
      </w:r>
      <w:r>
        <w:t xml:space="preserve">expected to be recognized through 2030. That is an unusually long-dated revenue base, but it is not immune to amendments, schedule changes, tariff-related provisions, or customer project cancellations.</w:t>
      </w:r>
    </w:p>
    <w:p>
      <w:pPr>
        <w:pStyle w:val="BodyText"/>
      </w:pPr>
      <w:r>
        <w:t xml:space="preserve">Key call questions:</w:t>
      </w:r>
    </w:p>
    <w:p>
      <w:pPr>
        <w:pStyle w:val="Compact"/>
        <w:numPr>
          <w:ilvl w:val="0"/>
          <w:numId w:val="1001"/>
        </w:numPr>
      </w:pPr>
      <w:r>
        <w:t xml:space="preserve">Did the company secure meaningful new bookings in Q2 or July?</w:t>
      </w:r>
    </w:p>
    <w:p>
      <w:pPr>
        <w:pStyle w:val="Compact"/>
        <w:numPr>
          <w:ilvl w:val="0"/>
          <w:numId w:val="1001"/>
        </w:numPr>
      </w:pPr>
      <w:r>
        <w:t xml:space="preserve">Are customers moving delivery schedules later, particularly for U.S. utility-scale projects?</w:t>
      </w:r>
    </w:p>
    <w:p>
      <w:pPr>
        <w:pStyle w:val="Compact"/>
        <w:numPr>
          <w:ilvl w:val="0"/>
          <w:numId w:val="1001"/>
        </w:numPr>
      </w:pPr>
      <w:r>
        <w:t xml:space="preserve">Has the mix of contracted U.S. versus India/international business changed?</w:t>
      </w:r>
    </w:p>
    <w:p>
      <w:pPr>
        <w:pStyle w:val="Compact"/>
        <w:numPr>
          <w:ilvl w:val="0"/>
          <w:numId w:val="1001"/>
        </w:numPr>
      </w:pPr>
      <w:r>
        <w:t xml:space="preserve">Is the company seeing more requests to modify pricing, delivery terms, domestic-content requirements, or tariff protections?</w:t>
      </w:r>
    </w:p>
    <w:p>
      <w:pPr>
        <w:pStyle w:val="Compact"/>
        <w:numPr>
          <w:ilvl w:val="0"/>
          <w:numId w:val="1001"/>
        </w:numPr>
      </w:pPr>
      <w:r>
        <w:t xml:space="preserve">Are customer deposits and deferred revenue holding up?</w:t>
      </w:r>
    </w:p>
    <w:p>
      <w:pPr>
        <w:pStyle w:val="FirstParagraph"/>
      </w:pPr>
      <w:r>
        <w:t xml:space="preserve">The backdrop is complicated: trade barriers can improve First Solar’s competitive positioning relative to imported crystalline-silicon modules, but broader tariffs can also increase costs for trackers, inverters, transformers, and other project inputs. That can impair project economics and delay module demand even if First Solar itself remains comparatively advantaged.</w:t>
      </w:r>
    </w:p>
    <w:p>
      <w:r>
        <w:pict>
          <v:rect style="width:0;height:1.5pt" o:hralign="center" o:hrstd="t" o:hr="t"/>
        </w:pict>
      </w:r>
    </w:p>
    <w:bookmarkEnd w:id="13"/>
    <w:bookmarkStart w:id="14" w:name="X8f46a3bd50b75de8cb03a44f02d75ff11499241"/>
    <w:p>
      <w:pPr>
        <w:pStyle w:val="Heading2"/>
      </w:pPr>
      <w:r>
        <w:t xml:space="preserve">3. The quality of margins and Section 45X dependence</w:t>
      </w:r>
    </w:p>
    <w:p>
      <w:pPr>
        <w:pStyle w:val="FirstParagraph"/>
      </w:pPr>
      <w:r>
        <w:t xml:space="preserve">First Solar’s profitability remains heavily influenced by the advanced-manufacturing production credit under</w:t>
      </w:r>
      <w:r>
        <w:t xml:space="preserve"> </w:t>
      </w:r>
      <w:r>
        <w:rPr>
          <w:b/>
          <w:bCs/>
        </w:rPr>
        <w:t xml:space="preserve">Section 45X</w:t>
      </w:r>
      <w:r>
        <w:t xml:space="preserve">. In Q1, the company recognized</w:t>
      </w:r>
      <w:r>
        <w:t xml:space="preserve"> </w:t>
      </w:r>
      <m:oMath>
        <m:r>
          <m:t>418</m:t>
        </m:r>
        <m:r>
          <m:t>m</m:t>
        </m:r>
        <m:r>
          <m:t>i</m:t>
        </m:r>
        <m:r>
          <m:t>l</m:t>
        </m:r>
        <m:r>
          <m:t>l</m:t>
        </m:r>
        <m:r>
          <m:t>i</m:t>
        </m:r>
        <m:r>
          <m:t>o</m:t>
        </m:r>
        <m:r>
          <m:t>n</m:t>
        </m:r>
        <m:r>
          <m:rPr>
            <m:sty m:val="p"/>
          </m:rPr>
          <m:t>*</m:t>
        </m:r>
        <m:r>
          <m:rPr>
            <m:sty m:val="p"/>
          </m:rPr>
          <m:t>*</m:t>
        </m:r>
        <m:r>
          <m:t>o</m:t>
        </m:r>
        <m:r>
          <m:t>f</m:t>
        </m:r>
        <m:r>
          <m:t>i</m:t>
        </m:r>
        <m:r>
          <m:t>n</m:t>
        </m:r>
        <m:r>
          <m:t>c</m:t>
        </m:r>
        <m:r>
          <m:t>o</m:t>
        </m:r>
        <m:r>
          <m:t>m</m:t>
        </m:r>
        <m:r>
          <m:t>e</m:t>
        </m:r>
        <m:r>
          <m:rPr>
            <m:sty m:val="p"/>
          </m:rPr>
          <m:t>−</m:t>
        </m:r>
        <m:r>
          <m:t>r</m:t>
        </m:r>
        <m:r>
          <m:t>e</m:t>
        </m:r>
        <m:r>
          <m:t>l</m:t>
        </m:r>
        <m:r>
          <m:t>a</m:t>
        </m:r>
        <m:r>
          <m:t>t</m:t>
        </m:r>
        <m:r>
          <m:t>e</m:t>
        </m:r>
        <m:r>
          <m:t>d</m:t>
        </m:r>
        <m:r>
          <m:t>g</m:t>
        </m:r>
        <m:r>
          <m:t>o</m:t>
        </m:r>
        <m:r>
          <m:t>v</m:t>
        </m:r>
        <m:r>
          <m:t>e</m:t>
        </m:r>
        <m:r>
          <m:t>r</m:t>
        </m:r>
        <m:r>
          <m:t>n</m:t>
        </m:r>
        <m:r>
          <m:t>m</m:t>
        </m:r>
        <m:r>
          <m:t>e</m:t>
        </m:r>
        <m:r>
          <m:t>n</m:t>
        </m:r>
        <m:r>
          <m:t>t</m:t>
        </m:r>
        <m:r>
          <m:t>g</m:t>
        </m:r>
        <m:r>
          <m:t>r</m:t>
        </m:r>
        <m:r>
          <m:t>a</m:t>
        </m:r>
        <m:r>
          <m:t>n</m:t>
        </m:r>
        <m:r>
          <m:t>t</m:t>
        </m:r>
        <m:r>
          <m:t>s</m:t>
        </m:r>
        <m:r>
          <m:t>i</m:t>
        </m:r>
        <m:r>
          <m:t>n</m:t>
        </m:r>
        <m:r>
          <m:t>c</m:t>
        </m:r>
        <m:r>
          <m:t>o</m:t>
        </m:r>
        <m:r>
          <m:t>s</m:t>
        </m:r>
        <m:r>
          <m:t>t</m:t>
        </m:r>
        <m:r>
          <m:t>o</m:t>
        </m:r>
        <m:r>
          <m:t>f</m:t>
        </m:r>
        <m:r>
          <m:t>s</m:t>
        </m:r>
        <m:r>
          <m:t>a</m:t>
        </m:r>
        <m:r>
          <m:t>l</m:t>
        </m:r>
        <m:r>
          <m:t>e</m:t>
        </m:r>
        <m:r>
          <m:t>s</m:t>
        </m:r>
        <m:r>
          <m:rPr>
            <m:sty m:val="p"/>
          </m:rPr>
          <m:t>,</m:t>
        </m:r>
        <m:r>
          <m:t>v</m:t>
        </m:r>
        <m:r>
          <m:t>e</m:t>
        </m:r>
        <m:r>
          <m:t>r</m:t>
        </m:r>
        <m:r>
          <m:t>s</m:t>
        </m:r>
        <m:r>
          <m:t>u</m:t>
        </m:r>
        <m:r>
          <m:t>s</m:t>
        </m:r>
        <m:r>
          <m:t>g</m:t>
        </m:r>
        <m:r>
          <m:t>r</m:t>
        </m:r>
        <m:r>
          <m:t>o</m:t>
        </m:r>
        <m:r>
          <m:t>s</m:t>
        </m:r>
        <m:r>
          <m:t>s</m:t>
        </m:r>
        <m:r>
          <m:t>p</m:t>
        </m:r>
        <m:r>
          <m:t>r</m:t>
        </m:r>
        <m:r>
          <m:t>o</m:t>
        </m:r>
        <m:r>
          <m:t>f</m:t>
        </m:r>
        <m:r>
          <m:t>i</m:t>
        </m:r>
        <m:r>
          <m:t>t</m:t>
        </m:r>
        <m:r>
          <m:t>o</m:t>
        </m:r>
        <m:r>
          <m:t>f</m:t>
        </m:r>
        <m:r>
          <m:rPr>
            <m:sty m:val="p"/>
          </m:rPr>
          <m:t>*</m:t>
        </m:r>
        <m:r>
          <m:rPr>
            <m:sty m:val="p"/>
          </m:rPr>
          <m:t>*</m:t>
        </m:r>
      </m:oMath>
      <w:r>
        <w:rPr>
          <w:b/>
          <w:bCs/>
        </w:rPr>
        <w:t xml:space="preserve">486 million</w:t>
      </w:r>
      <w:r>
        <w:t xml:space="preserve">. Put differently, the credit was a major contributor to reported gross profitability.</w:t>
      </w:r>
    </w:p>
    <w:p>
      <w:pPr>
        <w:pStyle w:val="BodyText"/>
      </w:pPr>
      <w:r>
        <w:t xml:space="preserve">This does</w:t>
      </w:r>
      <w:r>
        <w:t xml:space="preserve"> </w:t>
      </w:r>
      <w:r>
        <w:rPr>
          <w:b/>
          <w:bCs/>
        </w:rPr>
        <w:t xml:space="preserve">not</w:t>
      </w:r>
      <w:r>
        <w:t xml:space="preserve"> </w:t>
      </w:r>
      <w:r>
        <w:t xml:space="preserve">mean the underlying module business is unprofitable—First Solar has differentiated CdTe technology, domestic capacity, and contracted pricing—but it does mean investors should distinguish between:</w:t>
      </w:r>
    </w:p>
    <w:p>
      <w:pPr>
        <w:pStyle w:val="Compact"/>
        <w:numPr>
          <w:ilvl w:val="0"/>
          <w:numId w:val="1002"/>
        </w:numPr>
      </w:pPr>
      <w:r>
        <w:rPr>
          <w:b/>
          <w:bCs/>
        </w:rPr>
        <w:t xml:space="preserve">Underlying module economics</w:t>
      </w:r>
      <w:r>
        <w:t xml:space="preserve">: price, cost per watt, utilization, product mix, and operating leverage; and</w:t>
      </w:r>
    </w:p>
    <w:p>
      <w:pPr>
        <w:pStyle w:val="Compact"/>
        <w:numPr>
          <w:ilvl w:val="0"/>
          <w:numId w:val="1002"/>
        </w:numPr>
      </w:pPr>
      <w:r>
        <w:rPr>
          <w:b/>
          <w:bCs/>
        </w:rPr>
        <w:t xml:space="preserve">Policy-supported earnings</w:t>
      </w:r>
      <w:r>
        <w:t xml:space="preserve">: 45X-credit generation, monetization, discounting, transferability, and legislative durability.</w:t>
      </w:r>
    </w:p>
    <w:p>
      <w:pPr>
        <w:pStyle w:val="FirstParagraph"/>
      </w:pPr>
      <w:r>
        <w:t xml:space="preserve">For Q2, the company has guided to</w:t>
      </w:r>
      <w:r>
        <w:t xml:space="preserve"> </w:t>
      </w:r>
      <m:oMath>
        <m:r>
          <m:t>330</m:t>
        </m:r>
        <m:r>
          <m:t>m</m:t>
        </m:r>
        <m:r>
          <m:t>i</m:t>
        </m:r>
        <m:r>
          <m:t>l</m:t>
        </m:r>
        <m:r>
          <m:t>l</m:t>
        </m:r>
        <m:r>
          <m:t>i</m:t>
        </m:r>
        <m:r>
          <m:t>o</m:t>
        </m:r>
        <m:r>
          <m:t>n</m:t>
        </m:r>
        <m:r>
          <m:rPr>
            <m:sty m:val="p"/>
          </m:rPr>
          <m:t>–</m:t>
        </m:r>
      </m:oMath>
      <w:r>
        <w:rPr>
          <w:b/>
          <w:bCs/>
        </w:rPr>
        <w:t xml:space="preserve">400 million</w:t>
      </w:r>
      <w:r>
        <w:t xml:space="preserve"> </w:t>
      </w:r>
      <w:r>
        <w:t xml:space="preserve">of 45X credits. Investors should look for:</w:t>
      </w:r>
    </w:p>
    <w:p>
      <w:pPr>
        <w:pStyle w:val="Compact"/>
        <w:numPr>
          <w:ilvl w:val="0"/>
          <w:numId w:val="1003"/>
        </w:numPr>
      </w:pPr>
      <w:r>
        <w:t xml:space="preserve">Actual credits versus the guided range;</w:t>
      </w:r>
    </w:p>
    <w:p>
      <w:pPr>
        <w:pStyle w:val="Compact"/>
        <w:numPr>
          <w:ilvl w:val="0"/>
          <w:numId w:val="1003"/>
        </w:numPr>
      </w:pPr>
      <w:r>
        <w:t xml:space="preserve">Any discount associated with transferring or selling credits;</w:t>
      </w:r>
    </w:p>
    <w:p>
      <w:pPr>
        <w:pStyle w:val="Compact"/>
        <w:numPr>
          <w:ilvl w:val="0"/>
          <w:numId w:val="1003"/>
        </w:numPr>
      </w:pPr>
      <w:r>
        <w:t xml:space="preserve">Cash proceeds received or expected from credit monetization;</w:t>
      </w:r>
    </w:p>
    <w:p>
      <w:pPr>
        <w:pStyle w:val="Compact"/>
        <w:numPr>
          <w:ilvl w:val="0"/>
          <w:numId w:val="1003"/>
        </w:numPr>
      </w:pPr>
      <w:r>
        <w:t xml:space="preserve">Whether the company’s full-year</w:t>
      </w:r>
      <w:r>
        <w:t xml:space="preserve"> </w:t>
      </w:r>
      <m:oMath>
        <m:r>
          <m:t>2.10</m:t>
        </m:r>
        <m:r>
          <m:t>b</m:t>
        </m:r>
        <m:r>
          <m:t>i</m:t>
        </m:r>
        <m:r>
          <m:t>l</m:t>
        </m:r>
        <m:r>
          <m:t>l</m:t>
        </m:r>
        <m:r>
          <m:t>i</m:t>
        </m:r>
        <m:r>
          <m:t>o</m:t>
        </m:r>
        <m:r>
          <m:t>n</m:t>
        </m:r>
        <m:r>
          <m:rPr>
            <m:sty m:val="p"/>
          </m:rPr>
          <m:t>–</m:t>
        </m:r>
      </m:oMath>
      <w:r>
        <w:rPr>
          <w:b/>
          <w:bCs/>
        </w:rPr>
        <w:t xml:space="preserve">2.19 billion</w:t>
      </w:r>
      <w:r>
        <w:t xml:space="preserve"> </w:t>
      </w:r>
      <w:r>
        <w:t xml:space="preserve">45X assumption remains intact;</w:t>
      </w:r>
    </w:p>
    <w:p>
      <w:pPr>
        <w:pStyle w:val="Compact"/>
        <w:numPr>
          <w:ilvl w:val="0"/>
          <w:numId w:val="1003"/>
        </w:numPr>
      </w:pPr>
      <w:r>
        <w:t xml:space="preserve">Any change in the outlook for domestic manufacturing eligibility or policy treatment.</w:t>
      </w:r>
    </w:p>
    <w:p>
      <w:pPr>
        <w:pStyle w:val="FirstParagraph"/>
      </w:pPr>
      <w:r>
        <w:t xml:space="preserve">This is especially important because full-year gross-profit guidance of</w:t>
      </w:r>
      <w:r>
        <w:t xml:space="preserve"> </w:t>
      </w:r>
      <m:oMath>
        <m:r>
          <m:t>2.4</m:t>
        </m:r>
        <m:r>
          <m:t>b</m:t>
        </m:r>
        <m:r>
          <m:t>i</m:t>
        </m:r>
        <m:r>
          <m:t>l</m:t>
        </m:r>
        <m:r>
          <m:t>l</m:t>
        </m:r>
        <m:r>
          <m:t>i</m:t>
        </m:r>
        <m:r>
          <m:t>o</m:t>
        </m:r>
        <m:r>
          <m:t>n</m:t>
        </m:r>
        <m:r>
          <m:rPr>
            <m:sty m:val="p"/>
          </m:rPr>
          <m:t>–</m:t>
        </m:r>
      </m:oMath>
      <w:r>
        <w:t xml:space="preserve">2.6 billion includes a very large 45X component. A clean reiteration of the credit outlook would support earnings visibility; a reduction would have an outsized effect on the 2026 profit framework.</w:t>
      </w:r>
    </w:p>
    <w:p>
      <w:r>
        <w:pict>
          <v:rect style="width:0;height:1.5pt" o:hralign="center" o:hrstd="t" o:hr="t"/>
        </w:pict>
      </w:r>
    </w:p>
    <w:bookmarkEnd w:id="14"/>
    <w:bookmarkStart w:id="15" w:name="X8c5cda2c23046af3b540064c07c0e554a7c4554"/>
    <w:p>
      <w:pPr>
        <w:pStyle w:val="Heading2"/>
      </w:pPr>
      <w:r>
        <w:t xml:space="preserve">4. Manufacturing utilization, expansion, and cash conversion</w:t>
      </w:r>
    </w:p>
    <w:p>
      <w:pPr>
        <w:pStyle w:val="FirstParagraph"/>
      </w:pPr>
      <w:r>
        <w:t xml:space="preserve">Q1 net cash fell to</w:t>
      </w:r>
      <w:r>
        <w:t xml:space="preserve"> </w:t>
      </w:r>
      <m:oMath>
        <m:r>
          <m:t>2.0</m:t>
        </m:r>
        <m:r>
          <m:t>b</m:t>
        </m:r>
        <m:r>
          <m:t>i</m:t>
        </m:r>
        <m:r>
          <m:t>l</m:t>
        </m:r>
        <m:r>
          <m:t>l</m:t>
        </m:r>
        <m:r>
          <m:t>i</m:t>
        </m:r>
        <m:r>
          <m:t>o</m:t>
        </m:r>
        <m:r>
          <m:t>n</m:t>
        </m:r>
        <m:r>
          <m:rPr>
            <m:sty m:val="p"/>
          </m:rPr>
          <m:t>*</m:t>
        </m:r>
        <m:r>
          <m:rPr>
            <m:sty m:val="p"/>
          </m:rPr>
          <m:t>*</m:t>
        </m:r>
        <m:r>
          <m:t>f</m:t>
        </m:r>
        <m:r>
          <m:t>r</m:t>
        </m:r>
        <m:r>
          <m:t>o</m:t>
        </m:r>
        <m:r>
          <m:t>m</m:t>
        </m:r>
        <m:r>
          <m:rPr>
            <m:sty m:val="p"/>
          </m:rPr>
          <m:t>*</m:t>
        </m:r>
        <m:r>
          <m:rPr>
            <m:sty m:val="p"/>
          </m:rPr>
          <m:t>*</m:t>
        </m:r>
      </m:oMath>
      <w:r>
        <w:rPr>
          <w:b/>
          <w:bCs/>
        </w:rPr>
        <w:t xml:space="preserve">2.4 billion</w:t>
      </w:r>
      <w:r>
        <w:t xml:space="preserve"> </w:t>
      </w:r>
      <w:r>
        <w:t xml:space="preserve">at year-end 2025, primarily because of seasonal working-capital needs and capex tied to the South Carolina finishing facility. Operating cash flow was negative in Q1, as receivables, inventories, government-grant receivables, and accrued liabilities moved against cash flow.</w:t>
      </w:r>
    </w:p>
    <w:p>
      <w:pPr>
        <w:pStyle w:val="BodyText"/>
      </w:pPr>
      <w:r>
        <w:t xml:space="preserve">This is not necessarily a red flag—the company is expanding its manufacturing footprint and Q1 is often working-capital intensive—but Q2 should provide a clearer read on whether earnings are beginning to convert into cash.</w:t>
      </w:r>
    </w:p>
    <w:p>
      <w:pPr>
        <w:pStyle w:val="BodyText"/>
      </w:pPr>
      <w:r>
        <w:t xml:space="preserve">Watch for:</w:t>
      </w:r>
    </w:p>
    <w:p>
      <w:pPr>
        <w:pStyle w:val="Compact"/>
        <w:numPr>
          <w:ilvl w:val="0"/>
          <w:numId w:val="1004"/>
        </w:numPr>
      </w:pPr>
      <w:r>
        <w:t xml:space="preserve">Inventory movement, particularly finished goods;</w:t>
      </w:r>
    </w:p>
    <w:p>
      <w:pPr>
        <w:pStyle w:val="Compact"/>
        <w:numPr>
          <w:ilvl w:val="0"/>
          <w:numId w:val="1004"/>
        </w:numPr>
      </w:pPr>
      <w:r>
        <w:t xml:space="preserve">Accounts-receivable growth and customer collections;</w:t>
      </w:r>
    </w:p>
    <w:p>
      <w:pPr>
        <w:pStyle w:val="Compact"/>
        <w:numPr>
          <w:ilvl w:val="0"/>
          <w:numId w:val="1004"/>
        </w:numPr>
      </w:pPr>
      <w:r>
        <w:t xml:space="preserve">Deferred-revenue and customer-deposit trends;</w:t>
      </w:r>
    </w:p>
    <w:p>
      <w:pPr>
        <w:pStyle w:val="Compact"/>
        <w:numPr>
          <w:ilvl w:val="0"/>
          <w:numId w:val="1004"/>
        </w:numPr>
      </w:pPr>
      <w:r>
        <w:t xml:space="preserve">Capex pacing against the</w:t>
      </w:r>
      <w:r>
        <w:t xml:space="preserve"> </w:t>
      </w:r>
      <m:oMath>
        <m:r>
          <m:t>0.8</m:t>
        </m:r>
        <m:r>
          <m:t>b</m:t>
        </m:r>
        <m:r>
          <m:t>i</m:t>
        </m:r>
        <m:r>
          <m:t>l</m:t>
        </m:r>
        <m:r>
          <m:t>l</m:t>
        </m:r>
        <m:r>
          <m:t>i</m:t>
        </m:r>
        <m:r>
          <m:t>o</m:t>
        </m:r>
        <m:r>
          <m:t>n</m:t>
        </m:r>
        <m:r>
          <m:rPr>
            <m:sty m:val="p"/>
          </m:rPr>
          <m:t>–</m:t>
        </m:r>
      </m:oMath>
      <w:r>
        <w:t xml:space="preserve">1.0 billion full-year guide;</w:t>
      </w:r>
    </w:p>
    <w:p>
      <w:pPr>
        <w:pStyle w:val="Compact"/>
        <w:numPr>
          <w:ilvl w:val="0"/>
          <w:numId w:val="1004"/>
        </w:numPr>
      </w:pPr>
      <w:r>
        <w:t xml:space="preserve">Progress and spending associated with the South Carolina facility;</w:t>
      </w:r>
    </w:p>
    <w:p>
      <w:pPr>
        <w:pStyle w:val="Compact"/>
        <w:numPr>
          <w:ilvl w:val="0"/>
          <w:numId w:val="1004"/>
        </w:numPr>
      </w:pPr>
      <w:r>
        <w:t xml:space="preserve">Any utilization pressure at international facilities due to tariffs or lower U.S. import economics.</w:t>
      </w:r>
    </w:p>
    <w:p>
      <w:pPr>
        <w:pStyle w:val="FirstParagraph"/>
      </w:pPr>
      <w:r>
        <w:t xml:space="preserve">A stabilizing or improving net-cash trajectory would reinforce the balance-sheet advantage. A continued material draw without an identifiable timing explanation would become more consequential.</w:t>
      </w:r>
    </w:p>
    <w:p>
      <w:r>
        <w:pict>
          <v:rect style="width:0;height:1.5pt" o:hralign="center" o:hrstd="t" o:hr="t"/>
        </w:pict>
      </w:r>
    </w:p>
    <w:bookmarkEnd w:id="15"/>
    <w:bookmarkStart w:id="18" w:name="other-items-to-monitor"/>
    <w:p>
      <w:pPr>
        <w:pStyle w:val="Heading2"/>
      </w:pPr>
      <w:r>
        <w:t xml:space="preserve">Other items to monitor</w:t>
      </w:r>
    </w:p>
    <w:bookmarkStart w:id="16" w:name="series-7-warranty-exposure"/>
    <w:p>
      <w:pPr>
        <w:pStyle w:val="Heading3"/>
      </w:pPr>
      <w:r>
        <w:t xml:space="preserve">Series 7 warranty exposure</w:t>
      </w:r>
    </w:p>
    <w:p>
      <w:pPr>
        <w:pStyle w:val="FirstParagraph"/>
      </w:pPr>
      <w:r>
        <w:t xml:space="preserve">First Solar carries a specific</w:t>
      </w:r>
      <w:r>
        <w:t xml:space="preserve"> </w:t>
      </w:r>
      <m:oMath>
        <m:r>
          <m:t>47</m:t>
        </m:r>
        <m:r>
          <m:t>m</m:t>
        </m:r>
        <m:r>
          <m:t>i</m:t>
        </m:r>
        <m:r>
          <m:t>l</m:t>
        </m:r>
        <m:r>
          <m:t>l</m:t>
        </m:r>
        <m:r>
          <m:t>i</m:t>
        </m:r>
        <m:r>
          <m:t>o</m:t>
        </m:r>
        <m:r>
          <m:t>n</m:t>
        </m:r>
        <m:r>
          <m:rPr>
            <m:sty m:val="p"/>
          </m:rPr>
          <m:t>*</m:t>
        </m:r>
        <m:r>
          <m:rPr>
            <m:sty m:val="p"/>
          </m:rPr>
          <m:t>*</m:t>
        </m:r>
        <m:r>
          <m:t>w</m:t>
        </m:r>
        <m:r>
          <m:t>a</m:t>
        </m:r>
        <m:r>
          <m:t>r</m:t>
        </m:r>
        <m:r>
          <m:t>r</m:t>
        </m:r>
        <m:r>
          <m:t>a</m:t>
        </m:r>
        <m:r>
          <m:t>n</m:t>
        </m:r>
        <m:r>
          <m:t>t</m:t>
        </m:r>
        <m:r>
          <m:t>y</m:t>
        </m:r>
        <m:r>
          <m:t>l</m:t>
        </m:r>
        <m:r>
          <m:t>i</m:t>
        </m:r>
        <m:r>
          <m:t>a</m:t>
        </m:r>
        <m:r>
          <m:t>b</m:t>
        </m:r>
        <m:r>
          <m:t>i</m:t>
        </m:r>
        <m:r>
          <m:t>l</m:t>
        </m:r>
        <m:r>
          <m:t>i</m:t>
        </m:r>
        <m:r>
          <m:t>t</m:t>
        </m:r>
        <m:r>
          <m:t>y</m:t>
        </m:r>
        <m:r>
          <m:t>r</m:t>
        </m:r>
        <m:r>
          <m:t>e</m:t>
        </m:r>
        <m:r>
          <m:t>l</m:t>
        </m:r>
        <m:r>
          <m:t>a</m:t>
        </m:r>
        <m:r>
          <m:t>t</m:t>
        </m:r>
        <m:r>
          <m:t>e</m:t>
        </m:r>
        <m:r>
          <m:t>d</m:t>
        </m:r>
        <m:r>
          <m:t>t</m:t>
        </m:r>
        <m:r>
          <m:t>o</m:t>
        </m:r>
        <m:r>
          <m:t>c</m:t>
        </m:r>
        <m:r>
          <m:t>e</m:t>
        </m:r>
        <m:r>
          <m:t>r</m:t>
        </m:r>
        <m:r>
          <m:t>t</m:t>
        </m:r>
        <m:r>
          <m:t>a</m:t>
        </m:r>
        <m:r>
          <m:t>i</m:t>
        </m:r>
        <m:r>
          <m:t>n</m:t>
        </m:r>
        <m:r>
          <m:t>S</m:t>
        </m:r>
        <m:r>
          <m:t>e</m:t>
        </m:r>
        <m:r>
          <m:t>r</m:t>
        </m:r>
        <m:r>
          <m:t>i</m:t>
        </m:r>
        <m:r>
          <m:t>e</m:t>
        </m:r>
        <m:r>
          <m:t>s</m:t>
        </m:r>
        <m:r>
          <m:t>7</m:t>
        </m:r>
        <m:r>
          <m:t>m</m:t>
        </m:r>
        <m:r>
          <m:t>o</m:t>
        </m:r>
        <m:r>
          <m:t>d</m:t>
        </m:r>
        <m:r>
          <m:t>u</m:t>
        </m:r>
        <m:r>
          <m:t>l</m:t>
        </m:r>
        <m:r>
          <m:t>e</m:t>
        </m:r>
        <m:r>
          <m:t>s</m:t>
        </m:r>
        <m:r>
          <m:t>p</m:t>
        </m:r>
        <m:r>
          <m:t>r</m:t>
        </m:r>
        <m:r>
          <m:t>o</m:t>
        </m:r>
        <m:r>
          <m:t>d</m:t>
        </m:r>
        <m:r>
          <m:t>u</m:t>
        </m:r>
        <m:r>
          <m:t>c</m:t>
        </m:r>
        <m:r>
          <m:t>e</m:t>
        </m:r>
        <m:r>
          <m:t>d</m:t>
        </m:r>
        <m:r>
          <m:t>i</m:t>
        </m:r>
        <m:r>
          <m:t>n</m:t>
        </m:r>
        <m:r>
          <m:t>2023</m:t>
        </m:r>
        <m:r>
          <m:t>a</m:t>
        </m:r>
        <m:r>
          <m:t>n</m:t>
        </m:r>
        <m:r>
          <m:t>d</m:t>
        </m:r>
        <m:r>
          <m:t>2024</m:t>
        </m:r>
        <m:r>
          <m:t>t</m:t>
        </m:r>
        <m:r>
          <m:t>h</m:t>
        </m:r>
        <m:r>
          <m:t>a</m:t>
        </m:r>
        <m:r>
          <m:t>t</m:t>
        </m:r>
        <m:r>
          <m:t>m</m:t>
        </m:r>
        <m:r>
          <m:t>a</m:t>
        </m:r>
        <m:r>
          <m:t>y</m:t>
        </m:r>
        <m:r>
          <m:t>e</m:t>
        </m:r>
        <m:r>
          <m:t>x</m:t>
        </m:r>
        <m:r>
          <m:t>p</m:t>
        </m:r>
        <m:r>
          <m:t>e</m:t>
        </m:r>
        <m:r>
          <m:t>r</m:t>
        </m:r>
        <m:r>
          <m:t>i</m:t>
        </m:r>
        <m:r>
          <m:t>e</m:t>
        </m:r>
        <m:r>
          <m:t>n</m:t>
        </m:r>
        <m:r>
          <m:t>c</m:t>
        </m:r>
        <m:r>
          <m:t>e</m:t>
        </m:r>
        <m:r>
          <m:t>p</m:t>
        </m:r>
        <m:r>
          <m:t>r</m:t>
        </m:r>
        <m:r>
          <m:t>e</m:t>
        </m:r>
        <m:r>
          <m:t>m</m:t>
        </m:r>
        <m:r>
          <m:t>a</m:t>
        </m:r>
        <m:r>
          <m:t>t</m:t>
        </m:r>
        <m:r>
          <m:t>u</m:t>
        </m:r>
        <m:r>
          <m:t>r</m:t>
        </m:r>
        <m:r>
          <m:t>e</m:t>
        </m:r>
        <m:r>
          <m:t>p</m:t>
        </m:r>
        <m:r>
          <m:t>o</m:t>
        </m:r>
        <m:r>
          <m:t>w</m:t>
        </m:r>
        <m:r>
          <m:t>e</m:t>
        </m:r>
        <m:r>
          <m:t>r</m:t>
        </m:r>
        <m:r>
          <m:t>l</m:t>
        </m:r>
        <m:r>
          <m:t>o</m:t>
        </m:r>
        <m:r>
          <m:t>s</m:t>
        </m:r>
        <m:r>
          <m:t>s</m:t>
        </m:r>
        <m:r>
          <m:rPr>
            <m:sty m:val="p"/>
          </m:rPr>
          <m:t>.</m:t>
        </m:r>
        <m:r>
          <m:t>T</m:t>
        </m:r>
        <m:r>
          <m:t>h</m:t>
        </m:r>
        <m:r>
          <m:t>e</m:t>
        </m:r>
        <m:r>
          <m:t>c</m:t>
        </m:r>
        <m:r>
          <m:t>o</m:t>
        </m:r>
        <m:r>
          <m:t>m</m:t>
        </m:r>
        <m:r>
          <m:t>p</m:t>
        </m:r>
        <m:r>
          <m:t>a</m:t>
        </m:r>
        <m:r>
          <m:t>n</m:t>
        </m:r>
        <m:r>
          <m:t>y</m:t>
        </m:r>
        <m:r>
          <m:t>e</m:t>
        </m:r>
        <m:r>
          <m:t>s</m:t>
        </m:r>
        <m:r>
          <m:t>t</m:t>
        </m:r>
        <m:r>
          <m:t>i</m:t>
        </m:r>
        <m:r>
          <m:t>m</m:t>
        </m:r>
        <m:r>
          <m:t>a</m:t>
        </m:r>
        <m:r>
          <m:t>t</m:t>
        </m:r>
        <m:r>
          <m:t>e</m:t>
        </m:r>
        <m:r>
          <m:t>d</m:t>
        </m:r>
        <m:r>
          <m:t>a</m:t>
        </m:r>
        <m:r>
          <m:t>r</m:t>
        </m:r>
        <m:r>
          <m:t>e</m:t>
        </m:r>
        <m:r>
          <m:t>a</m:t>
        </m:r>
        <m:r>
          <m:t>s</m:t>
        </m:r>
        <m:r>
          <m:t>o</m:t>
        </m:r>
        <m:r>
          <m:t>n</m:t>
        </m:r>
        <m:r>
          <m:t>a</m:t>
        </m:r>
        <m:r>
          <m:t>b</m:t>
        </m:r>
        <m:r>
          <m:t>l</m:t>
        </m:r>
        <m:r>
          <m:t>y</m:t>
        </m:r>
        <m:r>
          <m:t>p</m:t>
        </m:r>
        <m:r>
          <m:t>o</m:t>
        </m:r>
        <m:r>
          <m:t>s</m:t>
        </m:r>
        <m:r>
          <m:t>s</m:t>
        </m:r>
        <m:r>
          <m:t>i</m:t>
        </m:r>
        <m:r>
          <m:t>b</m:t>
        </m:r>
        <m:r>
          <m:t>l</m:t>
        </m:r>
        <m:r>
          <m:t>e</m:t>
        </m:r>
        <m:r>
          <m:t>l</m:t>
        </m:r>
        <m:r>
          <m:t>o</m:t>
        </m:r>
        <m:r>
          <m:t>s</m:t>
        </m:r>
        <m:r>
          <m:t>s</m:t>
        </m:r>
        <m:r>
          <m:t>r</m:t>
        </m:r>
        <m:r>
          <m:t>a</m:t>
        </m:r>
        <m:r>
          <m:t>n</m:t>
        </m:r>
        <m:r>
          <m:t>g</m:t>
        </m:r>
        <m:r>
          <m:t>e</m:t>
        </m:r>
        <m:r>
          <m:t>o</m:t>
        </m:r>
        <m:r>
          <m:t>f</m:t>
        </m:r>
        <m:r>
          <m:rPr>
            <m:sty m:val="p"/>
          </m:rPr>
          <m:t>*</m:t>
        </m:r>
        <m:r>
          <m:rPr>
            <m:sty m:val="p"/>
          </m:rPr>
          <m:t>*</m:t>
        </m:r>
      </m:oMath>
      <w:r>
        <w:rPr>
          <w:b/>
          <w:bCs/>
        </w:rPr>
        <w:t xml:space="preserve">35 million–$70 million</w:t>
      </w:r>
      <w:r>
        <w:t xml:space="preserve"> </w:t>
      </w:r>
      <w:r>
        <w:t xml:space="preserve">as of Q1.</w:t>
      </w:r>
    </w:p>
    <w:p>
      <w:pPr>
        <w:pStyle w:val="BodyText"/>
      </w:pPr>
      <w:r>
        <w:t xml:space="preserve">This is not likely to be the main driver of the quarter, but any increase in the estimate, customer settlements, remediation expansion, or unfavorable field-performance data would be a negative surprise.</w:t>
      </w:r>
    </w:p>
    <w:bookmarkEnd w:id="16"/>
    <w:bookmarkStart w:id="17" w:name="Xbeac0552430d78e7e90f6285b48c935d033ba4b"/>
    <w:p>
      <w:pPr>
        <w:pStyle w:val="Heading3"/>
      </w:pPr>
      <w:r>
        <w:t xml:space="preserve">Technology roadmap and competitive differentiation</w:t>
      </w:r>
    </w:p>
    <w:p>
      <w:pPr>
        <w:pStyle w:val="FirstParagraph"/>
      </w:pPr>
      <w:r>
        <w:t xml:space="preserve">First Solar’s strategic case depends on maintaining a differentiated CdTe technology position versus commoditized crystalline silicon. Commentary on module wattage, CuRe deployment, production yields, manufacturing-cost reductions, and U.S./India capacity ramps will matter for the medium-term margin narrative.</w:t>
      </w:r>
    </w:p>
    <w:p>
      <w:pPr>
        <w:pStyle w:val="BodyText"/>
      </w:pPr>
      <w:r>
        <w:t xml:space="preserve">The company is also pursuing TOPCon-related intellectual-property actions against multiple solar manufacturers. Investors should not underwrite material near-term earnings from litigation, but developments that strengthen or weaken First Solar’s technology protection could influence the long-term competitive discussion.</w:t>
      </w:r>
    </w:p>
    <w:p>
      <w:r>
        <w:pict>
          <v:rect style="width:0;height:1.5pt" o:hralign="center" o:hrstd="t" o:hr="t"/>
        </w:pict>
      </w:r>
    </w:p>
    <w:bookmarkEnd w:id="17"/>
    <w:bookmarkEnd w:id="18"/>
    <w:bookmarkStart w:id="22" w:name="bull-base-and-bear-framing"/>
    <w:p>
      <w:pPr>
        <w:pStyle w:val="Heading2"/>
      </w:pPr>
      <w:r>
        <w:t xml:space="preserve">Bull, base, and bear framing</w:t>
      </w:r>
    </w:p>
    <w:bookmarkStart w:id="19" w:name="bull-case"/>
    <w:p>
      <w:pPr>
        <w:pStyle w:val="Heading3"/>
      </w:pPr>
      <w:r>
        <w:t xml:space="preserve">Bull case</w:t>
      </w:r>
    </w:p>
    <w:p>
      <w:pPr>
        <w:pStyle w:val="Compact"/>
        <w:numPr>
          <w:ilvl w:val="0"/>
          <w:numId w:val="1005"/>
        </w:numPr>
      </w:pPr>
      <w:r>
        <w:t xml:space="preserve">Q2 adjusted EBITDA lands at or above the high end of the</w:t>
      </w:r>
      <w:r>
        <w:t xml:space="preserve"> </w:t>
      </w:r>
      <m:oMath>
        <m:r>
          <m:t>400</m:t>
        </m:r>
        <m:r>
          <m:t>m</m:t>
        </m:r>
        <m:r>
          <m:t>i</m:t>
        </m:r>
        <m:r>
          <m:t>l</m:t>
        </m:r>
        <m:r>
          <m:t>l</m:t>
        </m:r>
        <m:r>
          <m:t>i</m:t>
        </m:r>
        <m:r>
          <m:t>o</m:t>
        </m:r>
        <m:r>
          <m:t>n</m:t>
        </m:r>
        <m:r>
          <m:rPr>
            <m:sty m:val="p"/>
          </m:rPr>
          <m:t>–</m:t>
        </m:r>
      </m:oMath>
      <w:r>
        <w:rPr>
          <w:b/>
          <w:bCs/>
        </w:rPr>
        <w:t xml:space="preserve">500 million</w:t>
      </w:r>
      <w:r>
        <w:t xml:space="preserve"> </w:t>
      </w:r>
      <w:r>
        <w:t xml:space="preserve">guide.</w:t>
      </w:r>
    </w:p>
    <w:p>
      <w:pPr>
        <w:pStyle w:val="Compact"/>
        <w:numPr>
          <w:ilvl w:val="0"/>
          <w:numId w:val="1005"/>
        </w:numPr>
      </w:pPr>
      <w:r>
        <w:t xml:space="preserve">Full-year guidance is reaffirmed without more conservative assumptions.</w:t>
      </w:r>
    </w:p>
    <w:p>
      <w:pPr>
        <w:pStyle w:val="Compact"/>
        <w:numPr>
          <w:ilvl w:val="0"/>
          <w:numId w:val="1005"/>
        </w:numPr>
      </w:pPr>
      <w:r>
        <w:t xml:space="preserve">New bookings and/or delivery visibility reinforce the 47.9 GW backlog.</w:t>
      </w:r>
    </w:p>
    <w:p>
      <w:pPr>
        <w:pStyle w:val="Compact"/>
        <w:numPr>
          <w:ilvl w:val="0"/>
          <w:numId w:val="1005"/>
        </w:numPr>
      </w:pPr>
      <w:r>
        <w:t xml:space="preserve">Management says project timing remains stable and trade-policy developments remain a net competitive positive.</w:t>
      </w:r>
    </w:p>
    <w:p>
      <w:pPr>
        <w:pStyle w:val="Compact"/>
        <w:numPr>
          <w:ilvl w:val="0"/>
          <w:numId w:val="1005"/>
        </w:numPr>
      </w:pPr>
      <w:r>
        <w:t xml:space="preserve">45X credit generation and monetization remain on track.</w:t>
      </w:r>
    </w:p>
    <w:p>
      <w:pPr>
        <w:pStyle w:val="Compact"/>
        <w:numPr>
          <w:ilvl w:val="0"/>
          <w:numId w:val="1005"/>
        </w:numPr>
      </w:pPr>
      <w:r>
        <w:t xml:space="preserve">Net cash improves as Q1 working-capital outflows reverse.</w:t>
      </w:r>
    </w:p>
    <w:bookmarkEnd w:id="19"/>
    <w:bookmarkStart w:id="20" w:name="base-case"/>
    <w:p>
      <w:pPr>
        <w:pStyle w:val="Heading3"/>
      </w:pPr>
      <w:r>
        <w:t xml:space="preserve">Base case</w:t>
      </w:r>
    </w:p>
    <w:p>
      <w:pPr>
        <w:pStyle w:val="Compact"/>
        <w:numPr>
          <w:ilvl w:val="0"/>
          <w:numId w:val="1006"/>
        </w:numPr>
      </w:pPr>
      <w:r>
        <w:t xml:space="preserve">Results broadly align with the company’s Q2 cadence.</w:t>
      </w:r>
    </w:p>
    <w:p>
      <w:pPr>
        <w:pStyle w:val="Compact"/>
        <w:numPr>
          <w:ilvl w:val="0"/>
          <w:numId w:val="1006"/>
        </w:numPr>
      </w:pPr>
      <w:r>
        <w:t xml:space="preserve">Full-year guidance is reiterated, but management remains cautious on tariffs, permitting, project financing, and international-facility utilization.</w:t>
      </w:r>
    </w:p>
    <w:p>
      <w:pPr>
        <w:pStyle w:val="Compact"/>
        <w:numPr>
          <w:ilvl w:val="0"/>
          <w:numId w:val="1006"/>
        </w:numPr>
      </w:pPr>
      <w:r>
        <w:t xml:space="preserve">Backlog remains stable, though incremental bookings are limited or delivery schedules remain uneven.</w:t>
      </w:r>
    </w:p>
    <w:p>
      <w:pPr>
        <w:pStyle w:val="Compact"/>
        <w:numPr>
          <w:ilvl w:val="0"/>
          <w:numId w:val="1006"/>
        </w:numPr>
      </w:pPr>
      <w:r>
        <w:t xml:space="preserve">The call emphasizes long-term positioning rather than near-term upside.</w:t>
      </w:r>
    </w:p>
    <w:bookmarkEnd w:id="20"/>
    <w:bookmarkStart w:id="21" w:name="bear-case"/>
    <w:p>
      <w:pPr>
        <w:pStyle w:val="Heading3"/>
      </w:pPr>
      <w:r>
        <w:t xml:space="preserve">Bear case</w:t>
      </w:r>
    </w:p>
    <w:p>
      <w:pPr>
        <w:pStyle w:val="Compact"/>
        <w:numPr>
          <w:ilvl w:val="0"/>
          <w:numId w:val="1007"/>
        </w:numPr>
      </w:pPr>
      <w:r>
        <w:t xml:space="preserve">A revenue, EBITDA, or shipment-volume miss driven by delayed customer deliveries, lower utilization, or weaker mix.</w:t>
      </w:r>
    </w:p>
    <w:p>
      <w:pPr>
        <w:pStyle w:val="Compact"/>
        <w:numPr>
          <w:ilvl w:val="0"/>
          <w:numId w:val="1007"/>
        </w:numPr>
      </w:pPr>
      <w:r>
        <w:t xml:space="preserve">Full-year guide reduction or a change to the underlying policy/tariff assumptions.</w:t>
      </w:r>
    </w:p>
    <w:p>
      <w:pPr>
        <w:pStyle w:val="Compact"/>
        <w:numPr>
          <w:ilvl w:val="0"/>
          <w:numId w:val="1007"/>
        </w:numPr>
      </w:pPr>
      <w:r>
        <w:t xml:space="preserve">Evidence of project cancellations, contract amendments, or broader delivery deferrals.</w:t>
      </w:r>
    </w:p>
    <w:p>
      <w:pPr>
        <w:pStyle w:val="Compact"/>
        <w:numPr>
          <w:ilvl w:val="0"/>
          <w:numId w:val="1007"/>
        </w:numPr>
      </w:pPr>
      <w:r>
        <w:t xml:space="preserve">Lower expected 45X-credit benefit or more costly monetization.</w:t>
      </w:r>
    </w:p>
    <w:p>
      <w:pPr>
        <w:pStyle w:val="Compact"/>
        <w:numPr>
          <w:ilvl w:val="0"/>
          <w:numId w:val="1007"/>
        </w:numPr>
      </w:pPr>
      <w:r>
        <w:t xml:space="preserve">Higher warranty reserves, elevated underutilization expense, or a weaker cash outlook.</w:t>
      </w:r>
    </w:p>
    <w:p>
      <w:r>
        <w:pict>
          <v:rect style="width:0;height:1.5pt" o:hralign="center" o:hrstd="t" o:hr="t"/>
        </w:pict>
      </w:r>
    </w:p>
    <w:bookmarkEnd w:id="21"/>
    <w:bookmarkEnd w:id="22"/>
    <w:bookmarkStart w:id="24" w:name="bottom-line"/>
    <w:p>
      <w:pPr>
        <w:pStyle w:val="Heading2"/>
      </w:pPr>
      <w:r>
        <w:t xml:space="preserve">Bottom line</w:t>
      </w:r>
    </w:p>
    <w:p>
      <w:pPr>
        <w:pStyle w:val="FirstParagraph"/>
      </w:pPr>
      <w:r>
        <w:t xml:space="preserve">FSLR’s Q2 report is fundamentally a</w:t>
      </w:r>
      <w:r>
        <w:t xml:space="preserve"> </w:t>
      </w:r>
      <w:r>
        <w:rPr>
          <w:b/>
          <w:bCs/>
        </w:rPr>
        <w:t xml:space="preserve">confidence test for 2026 and beyond</w:t>
      </w:r>
      <w:r>
        <w:t xml:space="preserve">. The quarter’s reported earnings will matter, but the stock is likely to trade on management’s answers to three questions:</w:t>
      </w:r>
    </w:p>
    <w:p>
      <w:pPr>
        <w:pStyle w:val="Compact"/>
        <w:numPr>
          <w:ilvl w:val="0"/>
          <w:numId w:val="1008"/>
        </w:numPr>
      </w:pPr>
      <w:r>
        <w:rPr>
          <w:b/>
          <w:bCs/>
        </w:rPr>
        <w:t xml:space="preserve">Is the</w:t>
      </w:r>
      <w:r>
        <w:rPr>
          <w:b/>
          <w:bCs/>
        </w:rPr>
        <w:t xml:space="preserve"> </w:t>
      </w:r>
      <m:oMath>
        <m:r>
          <m:t>4.9</m:t>
        </m:r>
        <m:r>
          <m:t>b</m:t>
        </m:r>
        <m:r>
          <m:t>i</m:t>
        </m:r>
        <m:r>
          <m:t>l</m:t>
        </m:r>
        <m:r>
          <m:t>l</m:t>
        </m:r>
        <m:r>
          <m:t>i</m:t>
        </m:r>
        <m:r>
          <m:t>o</m:t>
        </m:r>
        <m:r>
          <m:t>n</m:t>
        </m:r>
        <m:r>
          <m:rPr>
            <m:sty m:val="p"/>
          </m:rPr>
          <m:t>–</m:t>
        </m:r>
      </m:oMath>
      <w:r>
        <w:rPr>
          <w:b/>
          <w:bCs/>
        </w:rPr>
        <w:t xml:space="preserve">5.2 billion revenue and</w:t>
      </w:r>
      <w:r>
        <w:rPr>
          <w:b/>
          <w:bCs/>
        </w:rPr>
        <w:t xml:space="preserve"> </w:t>
      </w:r>
      <m:oMath>
        <m:r>
          <m:t>2.6</m:t>
        </m:r>
        <m:r>
          <m:t>b</m:t>
        </m:r>
        <m:r>
          <m:t>i</m:t>
        </m:r>
        <m:r>
          <m:t>l</m:t>
        </m:r>
        <m:r>
          <m:t>l</m:t>
        </m:r>
        <m:r>
          <m:t>i</m:t>
        </m:r>
        <m:r>
          <m:t>o</m:t>
        </m:r>
        <m:r>
          <m:t>n</m:t>
        </m:r>
        <m:r>
          <m:rPr>
            <m:sty m:val="p"/>
          </m:rPr>
          <m:t>–</m:t>
        </m:r>
      </m:oMath>
      <w:r>
        <w:rPr>
          <w:b/>
          <w:bCs/>
        </w:rPr>
        <w:t xml:space="preserve">2.8 billion adjusted-EBITDA framework still intact?</w:t>
      </w:r>
    </w:p>
    <w:p>
      <w:pPr>
        <w:pStyle w:val="Compact"/>
        <w:numPr>
          <w:ilvl w:val="0"/>
          <w:numId w:val="1008"/>
        </w:numPr>
      </w:pPr>
      <w:r>
        <w:rPr>
          <w:b/>
          <w:bCs/>
        </w:rPr>
        <w:t xml:space="preserve">Is the 47.9 GW contracted backlog converting into deliveries without meaningful project delays or cancellations?</w:t>
      </w:r>
    </w:p>
    <w:p>
      <w:pPr>
        <w:pStyle w:val="Compact"/>
        <w:numPr>
          <w:ilvl w:val="0"/>
          <w:numId w:val="1008"/>
        </w:numPr>
      </w:pPr>
      <w:r>
        <w:rPr>
          <w:b/>
          <w:bCs/>
        </w:rPr>
        <w:t xml:space="preserve">Can First Solar preserve policy-supported margins and factory utilization while continuing to generate cash through its manufacturing buildout?</w:t>
      </w:r>
    </w:p>
    <w:p>
      <w:pPr>
        <w:pStyle w:val="FirstParagraph"/>
      </w:pPr>
      <w:r>
        <w:t xml:space="preserve">With the shares already substantially below both their year-end 2025 level and early-June 2026 high, a clean guide reiteration, credible demand commentary, and stable 45X outlook could be enough to improve sentiment. But because the company’s valuation rests heavily on multi-year earnings visibility and policy-backed domestic manufacturing economics, any reduction in confidence around those pillars would likely matter far more than a modest headline EPS beat or miss.</w:t>
      </w:r>
    </w:p>
    <w:p>
      <w:r>
        <w:pict>
          <v:rect style="width:0;height:1.5pt" o:hralign="center" o:hrstd="t" o:hr="t"/>
        </w:pict>
      </w:r>
    </w:p>
    <w:bookmarkStart w:id="23" w:name="sources-reviewed"/>
    <w:p>
      <w:pPr>
        <w:pStyle w:val="Heading3"/>
      </w:pPr>
      <w:r>
        <w:t xml:space="preserve">Sources reviewed</w:t>
      </w:r>
    </w:p>
    <w:p>
      <w:pPr>
        <w:pStyle w:val="Compact"/>
        <w:numPr>
          <w:ilvl w:val="0"/>
          <w:numId w:val="1009"/>
        </w:numPr>
      </w:pPr>
      <w:r>
        <w:t xml:space="preserve">First Solar 1Q26 earnings release and Form 10-Q</w:t>
      </w:r>
    </w:p>
    <w:p>
      <w:pPr>
        <w:pStyle w:val="Compact"/>
        <w:numPr>
          <w:ilvl w:val="0"/>
          <w:numId w:val="1009"/>
        </w:numPr>
      </w:pPr>
      <w:r>
        <w:t xml:space="preserve">First Solar 2Q25 earnings release</w:t>
      </w:r>
    </w:p>
    <w:p>
      <w:pPr>
        <w:pStyle w:val="Compact"/>
        <w:numPr>
          <w:ilvl w:val="0"/>
          <w:numId w:val="1009"/>
        </w:numPr>
      </w:pPr>
      <w:r>
        <w:t xml:space="preserve">Recent FSLR market-news digest and historical price data</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2026-07-29T19:09:23Z</dcterms:created>
  <dcterms:modified xsi:type="dcterms:W3CDTF">2026-07-29T19:09:23Z</dcterms:modified>
</cp:coreProperties>
</file>

<file path=docProps/custom.xml><?xml version="1.0" encoding="utf-8"?>
<Properties xmlns="http://schemas.openxmlformats.org/officeDocument/2006/custom-properties" xmlns:vt="http://schemas.openxmlformats.org/officeDocument/2006/docPropsVTypes"/>
</file>