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First Solar, Inc. (FSLR)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First Solar, Inc. (FSLR)</w:t>
            </w:r>
          </w:p>
        </w:tc>
      </w:tr>
      <w:tr>
        <w:tc>
          <w:tcPr>
            <w:tcW w:type="dxa" w:w="4320"/>
          </w:tcPr>
          <w:p>
            <w:r>
              <w:rPr>
                <w:rFonts w:ascii="Calibri" w:hAnsi="Calibri"/>
                <w:b/>
                <w:sz w:val="22"/>
              </w:rPr>
              <w:t>Upcoming Earnings Date</w:t>
            </w:r>
          </w:p>
        </w:tc>
        <w:tc>
          <w:tcPr>
            <w:tcW w:type="dxa" w:w="4320"/>
          </w:tcPr>
          <w:p>
            <w:r>
              <w:rPr>
                <w:rFonts w:ascii="Calibri" w:hAnsi="Calibri"/>
                <w:sz w:val="22"/>
              </w:rPr>
              <w:t>July 30,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Q1 2026 — April 30, 2026 (Beat)</w:t>
            </w:r>
          </w:p>
        </w:tc>
      </w:tr>
      <w:tr>
        <w:tc>
          <w:tcPr>
            <w:tcW w:type="dxa" w:w="4320"/>
          </w:tcPr>
          <w:p>
            <w:r>
              <w:rPr>
                <w:rFonts w:ascii="Calibri" w:hAnsi="Calibri"/>
                <w:b/>
                <w:sz w:val="22"/>
              </w:rPr>
              <w:t>Sector ETF Benchmark</w:t>
            </w:r>
          </w:p>
        </w:tc>
        <w:tc>
          <w:tcPr>
            <w:tcW w:type="dxa" w:w="4320"/>
          </w:tcPr>
          <w:p>
            <w:r>
              <w:rPr>
                <w:rFonts w:ascii="Calibri" w:hAnsi="Calibri"/>
                <w:sz w:val="22"/>
              </w:rPr>
              <w:t>TAN (Invesco Solar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b/>
          <w:color w:val="525866"/>
          <w:sz w:val="22"/>
        </w:rPr>
        <w:t xml:space="preserve">The setup is constructive but binary — consensus is a manageable bar, but the </w:t>
      </w:r>
      <w:r>
        <w:rPr>
          <w:rFonts w:ascii="Calibri" w:hAnsi="Calibri"/>
          <w:b/>
          <w:color w:val="002FA7"/>
          <w:sz w:val="22"/>
        </w:rPr>
        <w:t>Section 232 polysilicon tariff decision (expected early August)</w:t>
      </w:r>
      <w:r>
        <w:rPr>
          <w:rFonts w:ascii="Calibri" w:hAnsi="Calibri"/>
          <w:b/>
          <w:color w:val="525866"/>
          <w:sz w:val="22"/>
        </w:rPr>
        <w:t xml:space="preserve"> is the single biggest swing factor that could reprice the stock materially in either direction regardless of the print itself.</w:t>
      </w:r>
    </w:p>
    <w:p>
      <w:r>
        <w:rPr>
          <w:rFonts w:ascii="Calibri" w:hAnsi="Calibri"/>
          <w:color w:val="525866"/>
          <w:sz w:val="22"/>
        </w:rPr>
        <w:t xml:space="preserve">Heading into Q2 2026, First Solar faces a consensus bar that looks achievable: the Street is modeling ~$1.07B in revenue and ~$2.85 in operating EPS, both roughly in line with management’s own Q2 guidance of volumes and Adjusted EBITDA in the same range as Q1 (which itself came in above the top end of the company’s own preview). Management’s tone on the Q1 call was notably confident — full-year 2026 guidance was reaffirmed unchanged, U.S. facilities are running at near-full utilization, and the CuRe technology rollout is on track — suggesting the bar is not set aggressively high. Estimate revisions have been broadly stable since the Q1 print, with the as-of-May-7 consensus nearly identical to current levels, implying the Street has largely digested the Q1 beat without chasing numbers higher. The stock surged from ~$202 at the Q1 print to an all-time high of ~$321 on June 3 before reversing sharply to ~$199 today, driven by a securities class action lawsuit filing and Section 232 timeline uncertainty — meaning the stock has already given back its post-earnings gains and is no longer pricing in a beat. The wildcard is the </w:t>
      </w:r>
    </w:p>
    <w:p>
      <w:r>
        <w:rPr>
          <w:rFonts w:ascii="Calibri" w:hAnsi="Calibri"/>
          <w:b/>
          <w:color w:val="525866"/>
          <w:sz w:val="22"/>
        </w:rPr>
        <w:t>Section 232 polysilicon tariff proclamation</w:t>
      </w:r>
      <w:r>
        <w:rPr>
          <w:rFonts w:ascii="Calibri" w:hAnsi="Calibri"/>
          <w:color w:val="525866"/>
          <w:sz w:val="22"/>
        </w:rPr>
        <w:t>, now expected in early August: management’s current guidance assumes Section 122 tariffs expire in July with no replacement modeled for finished goods, creating meaningful upside if 301 tariffs are implemented and downside if the policy disappoints. With ~2 GW of Southeast Asian fully-finished module capacity and incremental bookings contingent on the outcome, this binary catalyst — not the Q2 print itself — is likely to dominate the stock’s reaction.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moderate bar — revenue and EPS estimates are essentially flat vs. Q1 actuals, and the bigger swing factor is </w:t>
      </w:r>
      <w:r>
        <w:rPr>
          <w:rFonts w:ascii="Calibri" w:hAnsi="Calibri"/>
          <w:b/>
          <w:color w:val="002FA7"/>
          <w:sz w:val="22"/>
        </w:rPr>
        <w:t>45X IRA credit volume</w:t>
      </w:r>
      <w:r>
        <w:rPr>
          <w:rFonts w:ascii="Calibri" w:hAnsi="Calibri"/>
          <w:b/>
          <w:color w:val="525866"/>
          <w:sz w:val="22"/>
        </w:rPr>
        <w:t xml:space="preserve"> and shipment mix, which drove the Q1 upside surprise and could do so again.</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$1,044</w:t>
            </w:r>
          </w:p>
        </w:tc>
        <w:tc>
          <w:tcPr>
            <w:tcW w:type="dxa" w:w="1234"/>
          </w:tcPr>
          <w:p>
            <w:r>
              <w:rPr>
                <w:rFonts w:ascii="Calibri" w:hAnsi="Calibri"/>
                <w:sz w:val="22"/>
              </w:rPr>
              <w:t>$1,097</w:t>
            </w:r>
          </w:p>
        </w:tc>
        <w:tc>
          <w:tcPr>
            <w:tcW w:type="dxa" w:w="1234"/>
          </w:tcPr>
          <w:p>
            <w:r>
              <w:rPr>
                <w:rFonts w:ascii="Calibri" w:hAnsi="Calibri"/>
                <w:sz w:val="22"/>
              </w:rPr>
              <w:t>$1,067</w:t>
            </w:r>
          </w:p>
        </w:tc>
        <w:tc>
          <w:tcPr>
            <w:tcW w:type="dxa" w:w="1234"/>
          </w:tcPr>
          <w:p>
            <w:r>
              <w:rPr>
                <w:rFonts w:ascii="Calibri" w:hAnsi="Calibri"/>
                <w:sz w:val="22"/>
              </w:rPr>
              <w:t>-2.7%</w:t>
            </w:r>
          </w:p>
        </w:tc>
        <w:tc>
          <w:tcPr>
            <w:tcW w:type="dxa" w:w="1234"/>
          </w:tcPr>
          <w:p>
            <w:r>
              <w:rPr>
                <w:rFonts w:ascii="Calibri" w:hAnsi="Calibri"/>
                <w:sz w:val="22"/>
              </w:rPr>
              <w:t>~Q1 range</w:t>
            </w:r>
          </w:p>
        </w:tc>
        <w:tc>
          <w:tcPr>
            <w:tcW w:type="dxa" w:w="1234"/>
          </w:tcPr>
          <w:p>
            <w:r>
              <w:rPr>
                <w:rFonts w:ascii="Calibri" w:hAnsi="Calibri"/>
                <w:sz w:val="22"/>
              </w:rPr>
              <w:t>~In line</w:t>
            </w:r>
          </w:p>
        </w:tc>
      </w:tr>
      <w:tr>
        <w:tc>
          <w:tcPr>
            <w:tcW w:type="dxa" w:w="1234"/>
          </w:tcPr>
          <w:p>
            <w:r>
              <w:rPr>
                <w:rFonts w:ascii="Calibri" w:hAnsi="Calibri"/>
                <w:sz w:val="22"/>
              </w:rPr>
              <w:t>Op. EPS (Incl. 45X) ($)</w:t>
            </w:r>
          </w:p>
        </w:tc>
        <w:tc>
          <w:tcPr>
            <w:tcW w:type="dxa" w:w="1234"/>
          </w:tcPr>
          <w:p>
            <w:r>
              <w:rPr>
                <w:rFonts w:ascii="Calibri" w:hAnsi="Calibri"/>
                <w:sz w:val="22"/>
              </w:rPr>
              <w:t>$3.22</w:t>
            </w:r>
          </w:p>
        </w:tc>
        <w:tc>
          <w:tcPr>
            <w:tcW w:type="dxa" w:w="1234"/>
          </w:tcPr>
          <w:p>
            <w:r>
              <w:rPr>
                <w:rFonts w:ascii="Calibri" w:hAnsi="Calibri"/>
                <w:sz w:val="22"/>
              </w:rPr>
              <w:t>$3.18</w:t>
            </w:r>
          </w:p>
        </w:tc>
        <w:tc>
          <w:tcPr>
            <w:tcW w:type="dxa" w:w="1234"/>
          </w:tcPr>
          <w:p>
            <w:r>
              <w:rPr>
                <w:rFonts w:ascii="Calibri" w:hAnsi="Calibri"/>
                <w:sz w:val="22"/>
              </w:rPr>
              <w:t>$2.85</w:t>
            </w:r>
          </w:p>
        </w:tc>
        <w:tc>
          <w:tcPr>
            <w:tcW w:type="dxa" w:w="1234"/>
          </w:tcPr>
          <w:p>
            <w:r>
              <w:rPr>
                <w:rFonts w:ascii="Calibri" w:hAnsi="Calibri"/>
                <w:sz w:val="22"/>
              </w:rPr>
              <w:t>-10.4%</w:t>
            </w:r>
          </w:p>
        </w:tc>
        <w:tc>
          <w:tcPr>
            <w:tcW w:type="dxa" w:w="1234"/>
          </w:tcPr>
          <w:p>
            <w:r>
              <w:rPr>
                <w:rFonts w:ascii="Calibri" w:hAnsi="Calibri"/>
                <w:sz w:val="22"/>
              </w:rPr>
              <w:t>~Q1 EBITDA range</w:t>
            </w:r>
          </w:p>
        </w:tc>
        <w:tc>
          <w:tcPr>
            <w:tcW w:type="dxa" w:w="1234"/>
          </w:tcPr>
          <w:p>
            <w:r>
              <w:rPr>
                <w:rFonts w:ascii="Calibri" w:hAnsi="Calibri"/>
                <w:sz w:val="22"/>
              </w:rPr>
              <w:t>~In line</w:t>
            </w:r>
          </w:p>
        </w:tc>
      </w:tr>
      <w:tr>
        <w:tc>
          <w:tcPr>
            <w:tcW w:type="dxa" w:w="1234"/>
          </w:tcPr>
          <w:p>
            <w:r>
              <w:rPr>
                <w:rFonts w:ascii="Calibri" w:hAnsi="Calibri"/>
                <w:sz w:val="22"/>
              </w:rPr>
              <w:t>Gross Profit Incl. 45X ($M)</w:t>
            </w:r>
          </w:p>
        </w:tc>
        <w:tc>
          <w:tcPr>
            <w:tcW w:type="dxa" w:w="1234"/>
          </w:tcPr>
          <w:p>
            <w:r>
              <w:rPr>
                <w:rFonts w:ascii="Calibri" w:hAnsi="Calibri"/>
                <w:sz w:val="22"/>
              </w:rPr>
              <w:t>$486</w:t>
            </w:r>
          </w:p>
        </w:tc>
        <w:tc>
          <w:tcPr>
            <w:tcW w:type="dxa" w:w="1234"/>
          </w:tcPr>
          <w:p>
            <w:r>
              <w:rPr>
                <w:rFonts w:ascii="Calibri" w:hAnsi="Calibri"/>
                <w:sz w:val="22"/>
              </w:rPr>
              <w:t>$500</w:t>
            </w:r>
          </w:p>
        </w:tc>
        <w:tc>
          <w:tcPr>
            <w:tcW w:type="dxa" w:w="1234"/>
          </w:tcPr>
          <w:p>
            <w:r>
              <w:rPr>
                <w:rFonts w:ascii="Calibri" w:hAnsi="Calibri"/>
                <w:sz w:val="22"/>
              </w:rPr>
              <w:t>$456</w:t>
            </w:r>
          </w:p>
        </w:tc>
        <w:tc>
          <w:tcPr>
            <w:tcW w:type="dxa" w:w="1234"/>
          </w:tcPr>
          <w:p>
            <w:r>
              <w:rPr>
                <w:rFonts w:ascii="Calibri" w:hAnsi="Calibri"/>
                <w:sz w:val="22"/>
              </w:rPr>
              <w:t>-8.8%</w:t>
            </w:r>
          </w:p>
        </w:tc>
        <w:tc>
          <w:tcPr>
            <w:tcW w:type="dxa" w:w="1234"/>
          </w:tcPr>
          <w:p>
            <w:r>
              <w:rPr>
                <w:rFonts w:ascii="Calibri" w:hAnsi="Calibri"/>
                <w:sz w:val="22"/>
              </w:rPr>
              <w:t>N/A (EBITDA guided)</w:t>
            </w:r>
          </w:p>
        </w:tc>
        <w:tc>
          <w:tcPr>
            <w:tcW w:type="dxa" w:w="1234"/>
          </w:tcPr>
          <w:p>
            <w:r>
              <w:rPr>
                <w:rFonts w:ascii="Calibri" w:hAnsi="Calibri"/>
                <w:sz w:val="22"/>
              </w:rPr>
              <w:t>N/A</w:t>
            </w:r>
          </w:p>
        </w:tc>
      </w:tr>
      <w:tr>
        <w:tc>
          <w:tcPr>
            <w:tcW w:type="dxa" w:w="1234"/>
          </w:tcPr>
          <w:p>
            <w:r>
              <w:rPr>
                <w:rFonts w:ascii="Calibri" w:hAnsi="Calibri"/>
                <w:sz w:val="22"/>
              </w:rPr>
              <w:t>Total Shipments (MW)</w:t>
            </w:r>
          </w:p>
        </w:tc>
        <w:tc>
          <w:tcPr>
            <w:tcW w:type="dxa" w:w="1234"/>
          </w:tcPr>
          <w:p>
            <w:r>
              <w:rPr>
                <w:rFonts w:ascii="Calibri" w:hAnsi="Calibri"/>
                <w:sz w:val="22"/>
              </w:rPr>
              <w:t>3,800</w:t>
            </w:r>
          </w:p>
        </w:tc>
        <w:tc>
          <w:tcPr>
            <w:tcW w:type="dxa" w:w="1234"/>
          </w:tcPr>
          <w:p>
            <w:r>
              <w:rPr>
                <w:rFonts w:ascii="Calibri" w:hAnsi="Calibri"/>
                <w:sz w:val="22"/>
              </w:rPr>
              <w:t>3,554</w:t>
            </w:r>
          </w:p>
        </w:tc>
        <w:tc>
          <w:tcPr>
            <w:tcW w:type="dxa" w:w="1234"/>
          </w:tcPr>
          <w:p>
            <w:r>
              <w:rPr>
                <w:rFonts w:ascii="Calibri" w:hAnsi="Calibri"/>
                <w:sz w:val="22"/>
              </w:rPr>
              <w:t>3,791</w:t>
            </w:r>
          </w:p>
        </w:tc>
        <w:tc>
          <w:tcPr>
            <w:tcW w:type="dxa" w:w="1234"/>
          </w:tcPr>
          <w:p>
            <w:r>
              <w:rPr>
                <w:rFonts w:ascii="Calibri" w:hAnsi="Calibri"/>
                <w:sz w:val="22"/>
              </w:rPr>
              <w:t>+6.7%</w:t>
            </w:r>
          </w:p>
        </w:tc>
        <w:tc>
          <w:tcPr>
            <w:tcW w:type="dxa" w:w="1234"/>
          </w:tcPr>
          <w:p>
            <w:r>
              <w:rPr>
                <w:rFonts w:ascii="Calibri" w:hAnsi="Calibri"/>
                <w:sz w:val="22"/>
              </w:rPr>
              <w:t>3.4–4.0 GW</w:t>
            </w:r>
          </w:p>
        </w:tc>
        <w:tc>
          <w:tcPr>
            <w:tcW w:type="dxa" w:w="1234"/>
          </w:tcPr>
          <w:p>
            <w:r>
              <w:rPr>
                <w:rFonts w:ascii="Calibri" w:hAnsi="Calibri"/>
                <w:sz w:val="22"/>
              </w:rPr>
              <w:t>~In line / slight low end</w:t>
            </w:r>
          </w:p>
        </w:tc>
      </w:tr>
      <w:tr>
        <w:tc>
          <w:tcPr>
            <w:tcW w:type="dxa" w:w="1234"/>
          </w:tcPr>
          <w:p>
            <w:r>
              <w:rPr>
                <w:rFonts w:ascii="Calibri" w:hAnsi="Calibri"/>
                <w:sz w:val="22"/>
              </w:rPr>
              <w:t>IRA Credits / 45X ($M)</w:t>
            </w:r>
          </w:p>
        </w:tc>
        <w:tc>
          <w:tcPr>
            <w:tcW w:type="dxa" w:w="1234"/>
          </w:tcPr>
          <w:p>
            <w:r>
              <w:rPr>
                <w:rFonts w:ascii="Calibri" w:hAnsi="Calibri"/>
                <w:sz w:val="22"/>
              </w:rPr>
              <w:t>$418</w:t>
            </w:r>
          </w:p>
        </w:tc>
        <w:tc>
          <w:tcPr>
            <w:tcW w:type="dxa" w:w="1234"/>
          </w:tcPr>
          <w:p>
            <w:r>
              <w:rPr>
                <w:rFonts w:ascii="Calibri" w:hAnsi="Calibri"/>
                <w:sz w:val="22"/>
              </w:rPr>
              <w:t>$377</w:t>
            </w:r>
          </w:p>
        </w:tc>
        <w:tc>
          <w:tcPr>
            <w:tcW w:type="dxa" w:w="1234"/>
          </w:tcPr>
          <w:p>
            <w:r>
              <w:rPr>
                <w:rFonts w:ascii="Calibri" w:hAnsi="Calibri"/>
                <w:sz w:val="22"/>
              </w:rPr>
              <w:t>$408</w:t>
            </w:r>
          </w:p>
        </w:tc>
        <w:tc>
          <w:tcPr>
            <w:tcW w:type="dxa" w:w="1234"/>
          </w:tcPr>
          <w:p>
            <w:r>
              <w:rPr>
                <w:rFonts w:ascii="Calibri" w:hAnsi="Calibri"/>
                <w:sz w:val="22"/>
              </w:rPr>
              <w:t>+8.2%</w:t>
            </w:r>
          </w:p>
        </w:tc>
        <w:tc>
          <w:tcPr>
            <w:tcW w:type="dxa" w:w="1234"/>
          </w:tcPr>
          <w:p>
            <w:r>
              <w:rPr>
                <w:rFonts w:ascii="Calibri" w:hAnsi="Calibri"/>
                <w:sz w:val="22"/>
              </w:rPr>
              <w:t>N/A (volume-driven)</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$520</w:t>
            </w:r>
          </w:p>
        </w:tc>
        <w:tc>
          <w:tcPr>
            <w:tcW w:type="dxa" w:w="1234"/>
          </w:tcPr>
          <w:p>
            <w:r>
              <w:rPr>
                <w:rFonts w:ascii="Calibri" w:hAnsi="Calibri"/>
                <w:sz w:val="22"/>
              </w:rPr>
              <w:t>$538</w:t>
            </w:r>
          </w:p>
        </w:tc>
        <w:tc>
          <w:tcPr>
            <w:tcW w:type="dxa" w:w="1234"/>
          </w:tcPr>
          <w:p>
            <w:r>
              <w:rPr>
                <w:rFonts w:ascii="Calibri" w:hAnsi="Calibri"/>
                <w:sz w:val="22"/>
              </w:rPr>
              <w:t>$477</w:t>
            </w:r>
          </w:p>
        </w:tc>
        <w:tc>
          <w:tcPr>
            <w:tcW w:type="dxa" w:w="1234"/>
          </w:tcPr>
          <w:p>
            <w:r>
              <w:rPr>
                <w:rFonts w:ascii="Calibri" w:hAnsi="Calibri"/>
                <w:sz w:val="22"/>
              </w:rPr>
              <w:t>-11.3%</w:t>
            </w:r>
          </w:p>
        </w:tc>
        <w:tc>
          <w:tcPr>
            <w:tcW w:type="dxa" w:w="1234"/>
          </w:tcPr>
          <w:p>
            <w:r>
              <w:rPr>
                <w:rFonts w:ascii="Calibri" w:hAnsi="Calibri"/>
                <w:sz w:val="22"/>
              </w:rPr>
              <w:t>~Q1 range (~$520M)</w:t>
            </w:r>
          </w:p>
        </w:tc>
        <w:tc>
          <w:tcPr>
            <w:tcW w:type="dxa" w:w="1234"/>
          </w:tcPr>
          <w:p>
            <w:r>
              <w:rPr>
                <w:rFonts w:ascii="Calibri" w:hAnsi="Calibri"/>
                <w:sz w:val="22"/>
              </w:rPr>
              <w:t>~-8% vs. guidance mid</w:t>
            </w:r>
          </w:p>
        </w:tc>
      </w:tr>
      <w:tr>
        <w:tc>
          <w:tcPr>
            <w:tcW w:type="dxa" w:w="1234"/>
          </w:tcPr>
          <w:p>
            <w:r>
              <w:rPr>
                <w:rFonts w:ascii="Calibri" w:hAnsi="Calibri"/>
                <w:sz w:val="22"/>
              </w:rPr>
              <w:t>Net Bookings (GWh)</w:t>
            </w:r>
          </w:p>
        </w:tc>
        <w:tc>
          <w:tcPr>
            <w:tcW w:type="dxa" w:w="1234"/>
          </w:tcPr>
          <w:p>
            <w:r>
              <w:rPr>
                <w:rFonts w:ascii="Calibri" w:hAnsi="Calibri"/>
                <w:sz w:val="22"/>
              </w:rPr>
              <w:t>1.6</w:t>
            </w:r>
          </w:p>
        </w:tc>
        <w:tc>
          <w:tcPr>
            <w:tcW w:type="dxa" w:w="1234"/>
          </w:tcPr>
          <w:p>
            <w:r>
              <w:rPr>
                <w:rFonts w:ascii="Calibri" w:hAnsi="Calibri"/>
                <w:sz w:val="22"/>
              </w:rPr>
              <w:t>-0.7 (net cancellations)</w:t>
            </w:r>
          </w:p>
        </w:tc>
        <w:tc>
          <w:tcPr>
            <w:tcW w:type="dxa" w:w="1234"/>
          </w:tcPr>
          <w:p>
            <w:r>
              <w:rPr>
                <w:rFonts w:ascii="Calibri" w:hAnsi="Calibri"/>
                <w:sz w:val="22"/>
              </w:rPr>
              <w:t>1.4</w:t>
            </w:r>
          </w:p>
        </w:tc>
        <w:tc>
          <w:tcPr>
            <w:tcW w:type="dxa" w:w="1234"/>
          </w:tcPr>
          <w:p>
            <w:r>
              <w:rPr>
                <w:rFonts w:ascii="Calibri" w:hAnsi="Calibri"/>
                <w:sz w:val="22"/>
              </w:rPr>
              <w:t>N/M</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latest available (July 2026). Q2 2026 guidance per Q1 2026 earnings call (April 30, 2026). YoY change compares Q2 2026 consensus vs. Q2 2025 actual.</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$1,044</w:t>
            </w:r>
          </w:p>
        </w:tc>
        <w:tc>
          <w:tcPr>
            <w:tcW w:type="dxa" w:w="1728"/>
          </w:tcPr>
          <w:p>
            <w:r>
              <w:rPr>
                <w:rFonts w:ascii="Calibri" w:hAnsi="Calibri"/>
                <w:sz w:val="22"/>
              </w:rPr>
              <w:t>$1,029</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$1,683</w:t>
            </w:r>
          </w:p>
        </w:tc>
        <w:tc>
          <w:tcPr>
            <w:tcW w:type="dxa" w:w="1728"/>
          </w:tcPr>
          <w:p>
            <w:r>
              <w:rPr>
                <w:rFonts w:ascii="Calibri" w:hAnsi="Calibri"/>
                <w:sz w:val="22"/>
              </w:rPr>
              <w:t>$1,572</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$1,595</w:t>
            </w:r>
          </w:p>
        </w:tc>
        <w:tc>
          <w:tcPr>
            <w:tcW w:type="dxa" w:w="1728"/>
          </w:tcPr>
          <w:p>
            <w:r>
              <w:rPr>
                <w:rFonts w:ascii="Calibri" w:hAnsi="Calibri"/>
                <w:sz w:val="22"/>
              </w:rPr>
              <w:t>$1,593</w:t>
            </w:r>
          </w:p>
        </w:tc>
        <w:tc>
          <w:tcPr>
            <w:tcW w:type="dxa" w:w="1728"/>
          </w:tcPr>
          <w:p>
            <w:r>
              <w:rPr>
                <w:rFonts w:ascii="Calibri" w:hAnsi="Calibri"/>
                <w:b/>
                <w:color w:val="30A46C"/>
                <w:sz w:val="22"/>
              </w:rPr>
              <w:t>+0.1%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$1,097</w:t>
            </w:r>
          </w:p>
        </w:tc>
        <w:tc>
          <w:tcPr>
            <w:tcW w:type="dxa" w:w="1728"/>
          </w:tcPr>
          <w:p>
            <w:r>
              <w:rPr>
                <w:rFonts w:ascii="Calibri" w:hAnsi="Calibri"/>
                <w:sz w:val="22"/>
              </w:rPr>
              <w:t>$1,046</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$845</w:t>
            </w:r>
          </w:p>
        </w:tc>
        <w:tc>
          <w:tcPr>
            <w:tcW w:type="dxa" w:w="1728"/>
          </w:tcPr>
          <w:p>
            <w:r>
              <w:rPr>
                <w:rFonts w:ascii="Calibri" w:hAnsi="Calibri"/>
                <w:sz w:val="22"/>
              </w:rPr>
              <w:t>$848</w:t>
            </w:r>
          </w:p>
        </w:tc>
        <w:tc>
          <w:tcPr>
            <w:tcW w:type="dxa" w:w="1728"/>
          </w:tcPr>
          <w:p>
            <w:r>
              <w:rPr>
                <w:rFonts w:ascii="Calibri" w:hAnsi="Calibri"/>
                <w:b/>
                <w:color w:val="E5484D"/>
                <w:sz w:val="22"/>
              </w:rPr>
              <w:t>-0.4%</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$1,514</w:t>
            </w:r>
          </w:p>
        </w:tc>
        <w:tc>
          <w:tcPr>
            <w:tcW w:type="dxa" w:w="1728"/>
          </w:tcPr>
          <w:p>
            <w:r>
              <w:rPr>
                <w:rFonts w:ascii="Calibri" w:hAnsi="Calibri"/>
                <w:sz w:val="22"/>
              </w:rPr>
              <w:t>$1,485</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$888</w:t>
            </w:r>
          </w:p>
        </w:tc>
        <w:tc>
          <w:tcPr>
            <w:tcW w:type="dxa" w:w="1728"/>
          </w:tcPr>
          <w:p>
            <w:r>
              <w:rPr>
                <w:rFonts w:ascii="Calibri" w:hAnsi="Calibri"/>
                <w:sz w:val="22"/>
              </w:rPr>
              <w:t>$1,062</w:t>
            </w:r>
          </w:p>
        </w:tc>
        <w:tc>
          <w:tcPr>
            <w:tcW w:type="dxa" w:w="1728"/>
          </w:tcPr>
          <w:p>
            <w:r>
              <w:rPr>
                <w:rFonts w:ascii="Calibri" w:hAnsi="Calibri"/>
                <w:b/>
                <w:color w:val="E5484D"/>
                <w:sz w:val="22"/>
              </w:rPr>
              <w:t>-16.4%</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$1,010</w:t>
            </w:r>
          </w:p>
        </w:tc>
        <w:tc>
          <w:tcPr>
            <w:tcW w:type="dxa" w:w="1728"/>
          </w:tcPr>
          <w:p>
            <w:r>
              <w:rPr>
                <w:rFonts w:ascii="Calibri" w:hAnsi="Calibri"/>
                <w:sz w:val="22"/>
              </w:rPr>
              <w:t>$937</w:t>
            </w:r>
          </w:p>
        </w:tc>
        <w:tc>
          <w:tcPr>
            <w:tcW w:type="dxa" w:w="1728"/>
          </w:tcPr>
          <w:p>
            <w:r>
              <w:rPr>
                <w:rFonts w:ascii="Calibri" w:hAnsi="Calibri"/>
                <w:b/>
                <w:color w:val="30A46C"/>
                <w:sz w:val="22"/>
              </w:rPr>
              <w:t>+7.8%</w:t>
            </w:r>
          </w:p>
        </w:tc>
        <w:tc>
          <w:tcPr>
            <w:tcW w:type="dxa" w:w="1728"/>
          </w:tcPr>
          <w:p>
            <w:r>
              <w:rPr>
                <w:rFonts w:ascii="Calibri" w:hAnsi="Calibri"/>
                <w:sz w:val="22"/>
              </w:rPr>
              <w:t>Beat</w:t>
            </w:r>
          </w:p>
        </w:tc>
      </w:tr>
    </w:tbl>
    <w:p>
      <w:pPr>
        <w:pStyle w:val="Heading3"/>
      </w:pPr>
      <w:r>
        <w:rPr>
          <w:rFonts w:ascii="Calibri" w:hAnsi="Calibri"/>
          <w:b/>
          <w:color w:val="3B4259"/>
          <w:sz w:val="24"/>
        </w:rPr>
        <w:t>Top KPI #2: Operating EPS — Diluted, Including 45X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$3.22</w:t>
            </w:r>
          </w:p>
        </w:tc>
        <w:tc>
          <w:tcPr>
            <w:tcW w:type="dxa" w:w="1728"/>
          </w:tcPr>
          <w:p>
            <w:r>
              <w:rPr>
                <w:rFonts w:ascii="Calibri" w:hAnsi="Calibri"/>
                <w:sz w:val="22"/>
              </w:rPr>
              <w:t>$2.76</w:t>
            </w:r>
          </w:p>
        </w:tc>
        <w:tc>
          <w:tcPr>
            <w:tcW w:type="dxa" w:w="1728"/>
          </w:tcPr>
          <w:p>
            <w:r>
              <w:rPr>
                <w:rFonts w:ascii="Calibri" w:hAnsi="Calibri"/>
                <w:b/>
                <w:color w:val="30A46C"/>
                <w:sz w:val="22"/>
              </w:rPr>
              <w:t>+16.7%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$4.84</w:t>
            </w:r>
          </w:p>
        </w:tc>
        <w:tc>
          <w:tcPr>
            <w:tcW w:type="dxa" w:w="1728"/>
          </w:tcPr>
          <w:p>
            <w:r>
              <w:rPr>
                <w:rFonts w:ascii="Calibri" w:hAnsi="Calibri"/>
                <w:sz w:val="22"/>
              </w:rPr>
              <w:t>$5.24</w:t>
            </w:r>
          </w:p>
        </w:tc>
        <w:tc>
          <w:tcPr>
            <w:tcW w:type="dxa" w:w="1728"/>
          </w:tcPr>
          <w:p>
            <w:r>
              <w:rPr>
                <w:rFonts w:ascii="Calibri" w:hAnsi="Calibri"/>
                <w:b/>
                <w:color w:val="E5484D"/>
                <w:sz w:val="22"/>
              </w:rPr>
              <w:t>-7.6%</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$4.24</w:t>
            </w:r>
          </w:p>
        </w:tc>
        <w:tc>
          <w:tcPr>
            <w:tcW w:type="dxa" w:w="1728"/>
          </w:tcPr>
          <w:p>
            <w:r>
              <w:rPr>
                <w:rFonts w:ascii="Calibri" w:hAnsi="Calibri"/>
                <w:sz w:val="22"/>
              </w:rPr>
              <w:t>$4.27</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$3.18</w:t>
            </w:r>
          </w:p>
        </w:tc>
        <w:tc>
          <w:tcPr>
            <w:tcW w:type="dxa" w:w="1728"/>
          </w:tcPr>
          <w:p>
            <w:r>
              <w:rPr>
                <w:rFonts w:ascii="Calibri" w:hAnsi="Calibri"/>
                <w:sz w:val="22"/>
              </w:rPr>
              <w:t>$2.67</w:t>
            </w:r>
          </w:p>
        </w:tc>
        <w:tc>
          <w:tcPr>
            <w:tcW w:type="dxa" w:w="1728"/>
          </w:tcPr>
          <w:p>
            <w:r>
              <w:rPr>
                <w:rFonts w:ascii="Calibri" w:hAnsi="Calibri"/>
                <w:b/>
                <w:color w:val="30A46C"/>
                <w:sz w:val="22"/>
              </w:rPr>
              <w:t>+19.1%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$1.95</w:t>
            </w:r>
          </w:p>
        </w:tc>
        <w:tc>
          <w:tcPr>
            <w:tcW w:type="dxa" w:w="1728"/>
          </w:tcPr>
          <w:p>
            <w:r>
              <w:rPr>
                <w:rFonts w:ascii="Calibri" w:hAnsi="Calibri"/>
                <w:sz w:val="22"/>
              </w:rPr>
              <w:t>$2.46</w:t>
            </w:r>
          </w:p>
        </w:tc>
        <w:tc>
          <w:tcPr>
            <w:tcW w:type="dxa" w:w="1728"/>
          </w:tcPr>
          <w:p>
            <w:r>
              <w:rPr>
                <w:rFonts w:ascii="Calibri" w:hAnsi="Calibri"/>
                <w:b/>
                <w:color w:val="E5484D"/>
                <w:sz w:val="22"/>
              </w:rPr>
              <w:t>-20.7%</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$3.65</w:t>
            </w:r>
          </w:p>
        </w:tc>
        <w:tc>
          <w:tcPr>
            <w:tcW w:type="dxa" w:w="1728"/>
          </w:tcPr>
          <w:p>
            <w:r>
              <w:rPr>
                <w:rFonts w:ascii="Calibri" w:hAnsi="Calibri"/>
                <w:sz w:val="22"/>
              </w:rPr>
              <w:t>$4.72</w:t>
            </w:r>
          </w:p>
        </w:tc>
        <w:tc>
          <w:tcPr>
            <w:tcW w:type="dxa" w:w="1728"/>
          </w:tcPr>
          <w:p>
            <w:r>
              <w:rPr>
                <w:rFonts w:ascii="Calibri" w:hAnsi="Calibri"/>
                <w:b/>
                <w:color w:val="E5484D"/>
                <w:sz w:val="22"/>
              </w:rPr>
              <w:t>-22.6%</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$2.91</w:t>
            </w:r>
          </w:p>
        </w:tc>
        <w:tc>
          <w:tcPr>
            <w:tcW w:type="dxa" w:w="1728"/>
          </w:tcPr>
          <w:p>
            <w:r>
              <w:rPr>
                <w:rFonts w:ascii="Calibri" w:hAnsi="Calibri"/>
                <w:sz w:val="22"/>
              </w:rPr>
              <w:t>$3.13</w:t>
            </w:r>
          </w:p>
        </w:tc>
        <w:tc>
          <w:tcPr>
            <w:tcW w:type="dxa" w:w="1728"/>
          </w:tcPr>
          <w:p>
            <w:r>
              <w:rPr>
                <w:rFonts w:ascii="Calibri" w:hAnsi="Calibri"/>
                <w:b/>
                <w:color w:val="E5484D"/>
                <w:sz w:val="22"/>
              </w:rPr>
              <w:t>-7.0%</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$3.25</w:t>
            </w:r>
          </w:p>
        </w:tc>
        <w:tc>
          <w:tcPr>
            <w:tcW w:type="dxa" w:w="1728"/>
          </w:tcPr>
          <w:p>
            <w:r>
              <w:rPr>
                <w:rFonts w:ascii="Calibri" w:hAnsi="Calibri"/>
                <w:sz w:val="22"/>
              </w:rPr>
              <w:t>$2.69</w:t>
            </w:r>
          </w:p>
        </w:tc>
        <w:tc>
          <w:tcPr>
            <w:tcW w:type="dxa" w:w="1728"/>
          </w:tcPr>
          <w:p>
            <w:r>
              <w:rPr>
                <w:rFonts w:ascii="Calibri" w:hAnsi="Calibri"/>
                <w:b/>
                <w:color w:val="30A46C"/>
                <w:sz w:val="22"/>
              </w:rPr>
              <w:t>+20.8%</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Revenue beats have been consistent (6 of 8 quarters), but EPS has been more volatile — FSLR has missed EPS in 5 of the last 8 quarters, largely driven by 45X credit timing, international underutilization charges, and mix shifts. The Q1 2026 EPS beat (+16.7%) was the largest positive surprise in recent history, driven by higher-than-expected 45X-qualifying volumes and significantly lower freight costs. The Q2 2026 consensus EPS of $2.85 implies a meaningful step-down from Q1’s $3.22, which may be conservative given the same U.S. utilization dynamics.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2026 guidance was </w:t>
      </w:r>
      <w:r>
        <w:rPr>
          <w:rFonts w:ascii="Calibri" w:hAnsi="Calibri"/>
          <w:b/>
          <w:color w:val="30A46C"/>
          <w:sz w:val="22"/>
        </w:rPr>
        <w:t>reaffirmed unchanged</w:t>
      </w:r>
      <w:r>
        <w:rPr>
          <w:rFonts w:ascii="Calibri" w:hAnsi="Calibri"/>
          <w:b/>
          <w:color w:val="525866"/>
          <w:sz w:val="22"/>
        </w:rPr>
        <w:t xml:space="preserve"> on the Q1 call; no post-earnings revisions have been issued, and management tone remains confident on U.S. execution while flagging Section 232 and Section 122 tariff expiry as the key unmodeled variables.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Sales ($B)</w:t>
            </w:r>
          </w:p>
        </w:tc>
        <w:tc>
          <w:tcPr>
            <w:tcW w:type="dxa" w:w="1728"/>
          </w:tcPr>
          <w:p>
            <w:r>
              <w:rPr>
                <w:rFonts w:ascii="Calibri" w:hAnsi="Calibri"/>
                <w:sz w:val="22"/>
              </w:rPr>
              <w:t>$4.9B – $5.2B</w:t>
            </w:r>
          </w:p>
        </w:tc>
        <w:tc>
          <w:tcPr>
            <w:tcW w:type="dxa" w:w="1728"/>
          </w:tcPr>
          <w:p>
            <w:r>
              <w:rPr>
                <w:rFonts w:ascii="Calibri" w:hAnsi="Calibri"/>
                <w:sz w:val="22"/>
              </w:rPr>
              <w:t>—</w:t>
            </w:r>
          </w:p>
        </w:tc>
        <w:tc>
          <w:tcPr>
            <w:tcW w:type="dxa" w:w="1728"/>
          </w:tcPr>
          <w:p>
            <w:r>
              <w:rPr>
                <w:rFonts w:ascii="Calibri" w:hAnsi="Calibri"/>
                <w:sz w:val="22"/>
              </w:rPr>
              <w:t>$5.07B</w:t>
            </w:r>
          </w:p>
        </w:tc>
        <w:tc>
          <w:tcPr>
            <w:tcW w:type="dxa" w:w="1728"/>
          </w:tcPr>
          <w:p>
            <w:r>
              <w:rPr>
                <w:rFonts w:ascii="Calibri" w:hAnsi="Calibri"/>
                <w:sz w:val="22"/>
              </w:rPr>
              <w:t>Unchanged; consensus at midpoint. Guidance reaffirmed Apr 30, 2026.</w:t>
            </w:r>
          </w:p>
        </w:tc>
      </w:tr>
      <w:tr>
        <w:tc>
          <w:tcPr>
            <w:tcW w:type="dxa" w:w="1728"/>
          </w:tcPr>
          <w:p>
            <w:r>
              <w:rPr>
                <w:rFonts w:ascii="Calibri" w:hAnsi="Calibri"/>
                <w:sz w:val="22"/>
              </w:rPr>
              <w:t>FY 2026 Volume Sold (GW)</w:t>
            </w:r>
          </w:p>
        </w:tc>
        <w:tc>
          <w:tcPr>
            <w:tcW w:type="dxa" w:w="1728"/>
          </w:tcPr>
          <w:p>
            <w:r>
              <w:rPr>
                <w:rFonts w:ascii="Calibri" w:hAnsi="Calibri"/>
                <w:sz w:val="22"/>
              </w:rPr>
              <w:t>17.0 – 18.2 GW</w:t>
            </w:r>
          </w:p>
        </w:tc>
        <w:tc>
          <w:tcPr>
            <w:tcW w:type="dxa" w:w="1728"/>
          </w:tcPr>
          <w:p>
            <w:r>
              <w:rPr>
                <w:rFonts w:ascii="Calibri" w:hAnsi="Calibri"/>
                <w:sz w:val="22"/>
              </w:rPr>
              <w:t>—</w:t>
            </w:r>
          </w:p>
        </w:tc>
        <w:tc>
          <w:tcPr>
            <w:tcW w:type="dxa" w:w="1728"/>
          </w:tcPr>
          <w:p>
            <w:r>
              <w:rPr>
                <w:rFonts w:ascii="Calibri" w:hAnsi="Calibri"/>
                <w:sz w:val="22"/>
              </w:rPr>
              <w:t>17.7 GW</w:t>
            </w:r>
          </w:p>
        </w:tc>
        <w:tc>
          <w:tcPr>
            <w:tcW w:type="dxa" w:w="1728"/>
          </w:tcPr>
          <w:p>
            <w:r>
              <w:rPr>
                <w:rFonts w:ascii="Calibri" w:hAnsi="Calibri"/>
                <w:sz w:val="22"/>
              </w:rPr>
              <w:t>Unchanged; consensus near midpoint.</w:t>
            </w:r>
          </w:p>
        </w:tc>
      </w:tr>
      <w:tr>
        <w:tc>
          <w:tcPr>
            <w:tcW w:type="dxa" w:w="1728"/>
          </w:tcPr>
          <w:p>
            <w:r>
              <w:rPr>
                <w:rFonts w:ascii="Calibri" w:hAnsi="Calibri"/>
                <w:sz w:val="22"/>
              </w:rPr>
              <w:t>Q2 2026 Volume (GW)</w:t>
            </w:r>
          </w:p>
        </w:tc>
        <w:tc>
          <w:tcPr>
            <w:tcW w:type="dxa" w:w="1728"/>
          </w:tcPr>
          <w:p>
            <w:r>
              <w:rPr>
                <w:rFonts w:ascii="Calibri" w:hAnsi="Calibri"/>
                <w:sz w:val="22"/>
              </w:rPr>
              <w:t>~3.4 – 4.0 GW</w:t>
            </w:r>
          </w:p>
        </w:tc>
        <w:tc>
          <w:tcPr>
            <w:tcW w:type="dxa" w:w="1728"/>
          </w:tcPr>
          <w:p>
            <w:r>
              <w:rPr>
                <w:rFonts w:ascii="Calibri" w:hAnsi="Calibri"/>
                <w:sz w:val="22"/>
              </w:rPr>
              <w:t>—</w:t>
            </w:r>
          </w:p>
        </w:tc>
        <w:tc>
          <w:tcPr>
            <w:tcW w:type="dxa" w:w="1728"/>
          </w:tcPr>
          <w:p>
            <w:r>
              <w:rPr>
                <w:rFonts w:ascii="Calibri" w:hAnsi="Calibri"/>
                <w:sz w:val="22"/>
              </w:rPr>
              <w:t>3.79 GW</w:t>
            </w:r>
          </w:p>
        </w:tc>
        <w:tc>
          <w:tcPr>
            <w:tcW w:type="dxa" w:w="1728"/>
          </w:tcPr>
          <w:p>
            <w:r>
              <w:rPr>
                <w:rFonts w:ascii="Calibri" w:hAnsi="Calibri"/>
                <w:sz w:val="22"/>
              </w:rPr>
              <w:t>Consensus at low end of guidance range; slight conservatism.</w:t>
            </w:r>
          </w:p>
        </w:tc>
      </w:tr>
      <w:tr>
        <w:tc>
          <w:tcPr>
            <w:tcW w:type="dxa" w:w="1728"/>
          </w:tcPr>
          <w:p>
            <w:r>
              <w:rPr>
                <w:rFonts w:ascii="Calibri" w:hAnsi="Calibri"/>
                <w:sz w:val="22"/>
              </w:rPr>
              <w:t>Q2 2026 Adj. EBITDA</w:t>
            </w:r>
          </w:p>
        </w:tc>
        <w:tc>
          <w:tcPr>
            <w:tcW w:type="dxa" w:w="1728"/>
          </w:tcPr>
          <w:p>
            <w:r>
              <w:rPr>
                <w:rFonts w:ascii="Calibri" w:hAnsi="Calibri"/>
                <w:sz w:val="22"/>
              </w:rPr>
              <w:t>~Same range as Q1 (~$520M)</w:t>
            </w:r>
          </w:p>
        </w:tc>
        <w:tc>
          <w:tcPr>
            <w:tcW w:type="dxa" w:w="1728"/>
          </w:tcPr>
          <w:p>
            <w:r>
              <w:rPr>
                <w:rFonts w:ascii="Calibri" w:hAnsi="Calibri"/>
                <w:sz w:val="22"/>
              </w:rPr>
              <w:t>—</w:t>
            </w:r>
          </w:p>
        </w:tc>
        <w:tc>
          <w:tcPr>
            <w:tcW w:type="dxa" w:w="1728"/>
          </w:tcPr>
          <w:p>
            <w:r>
              <w:rPr>
                <w:rFonts w:ascii="Calibri" w:hAnsi="Calibri"/>
                <w:sz w:val="22"/>
              </w:rPr>
              <w:t>$477M</w:t>
            </w:r>
          </w:p>
        </w:tc>
        <w:tc>
          <w:tcPr>
            <w:tcW w:type="dxa" w:w="1728"/>
          </w:tcPr>
          <w:p>
            <w:r>
              <w:rPr>
                <w:rFonts w:ascii="Calibri" w:hAnsi="Calibri"/>
                <w:sz w:val="22"/>
              </w:rPr>
              <w:t>Consensus ~8% below guidance midpoint — potential cushion if 45X volumes repeat.</w:t>
            </w:r>
          </w:p>
        </w:tc>
      </w:tr>
      <w:tr>
        <w:tc>
          <w:tcPr>
            <w:tcW w:type="dxa" w:w="1728"/>
          </w:tcPr>
          <w:p>
            <w:r>
              <w:rPr>
                <w:rFonts w:ascii="Calibri" w:hAnsi="Calibri"/>
                <w:sz w:val="22"/>
              </w:rPr>
              <w:t>FY 2026 Adj. EBITDA ($B)</w:t>
            </w:r>
          </w:p>
        </w:tc>
        <w:tc>
          <w:tcPr>
            <w:tcW w:type="dxa" w:w="1728"/>
          </w:tcPr>
          <w:p>
            <w:r>
              <w:rPr>
                <w:rFonts w:ascii="Calibri" w:hAnsi="Calibri"/>
                <w:sz w:val="22"/>
              </w:rPr>
              <w:t>N/A (quarterly guided)</w:t>
            </w:r>
          </w:p>
        </w:tc>
        <w:tc>
          <w:tcPr>
            <w:tcW w:type="dxa" w:w="1728"/>
          </w:tcPr>
          <w:p>
            <w:r>
              <w:rPr>
                <w:rFonts w:ascii="Calibri" w:hAnsi="Calibri"/>
                <w:sz w:val="22"/>
              </w:rPr>
              <w:t>—</w:t>
            </w:r>
          </w:p>
        </w:tc>
        <w:tc>
          <w:tcPr>
            <w:tcW w:type="dxa" w:w="1728"/>
          </w:tcPr>
          <w:p>
            <w:r>
              <w:rPr>
                <w:rFonts w:ascii="Calibri" w:hAnsi="Calibri"/>
                <w:sz w:val="22"/>
              </w:rPr>
              <w:t>$2.64B</w:t>
            </w:r>
          </w:p>
        </w:tc>
        <w:tc>
          <w:tcPr>
            <w:tcW w:type="dxa" w:w="1728"/>
          </w:tcPr>
          <w:p>
            <w:r>
              <w:rPr>
                <w:rFonts w:ascii="Calibri" w:hAnsi="Calibri"/>
                <w:sz w:val="22"/>
              </w:rPr>
              <w:t>Implied from quarterly guidance; no explicit FY EBITDA range given.</w:t>
            </w:r>
          </w:p>
        </w:tc>
      </w:tr>
      <w:tr>
        <w:tc>
          <w:tcPr>
            <w:tcW w:type="dxa" w:w="1728"/>
          </w:tcPr>
          <w:p>
            <w:r>
              <w:rPr>
                <w:rFonts w:ascii="Calibri" w:hAnsi="Calibri"/>
                <w:sz w:val="22"/>
              </w:rPr>
              <w:t>Section 232 / Tariff Assumption</w:t>
            </w:r>
          </w:p>
        </w:tc>
        <w:tc>
          <w:tcPr>
            <w:tcW w:type="dxa" w:w="1728"/>
          </w:tcPr>
          <w:p>
            <w:r>
              <w:rPr>
                <w:rFonts w:ascii="Calibri" w:hAnsi="Calibri"/>
                <w:sz w:val="22"/>
              </w:rPr>
              <w:t>Sec. 122 tariffs expire ~July; no replacement modeled for finished goods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unmodeled upside: 301 tariffs on finished modules. Decision now expected early August.</w:t>
            </w:r>
          </w:p>
        </w:tc>
      </w:tr>
      <w:tr>
        <w:tc>
          <w:tcPr>
            <w:tcW w:type="dxa" w:w="1728"/>
          </w:tcPr>
          <w:p>
            <w:r>
              <w:rPr>
                <w:rFonts w:ascii="Calibri" w:hAnsi="Calibri"/>
                <w:sz w:val="22"/>
              </w:rPr>
              <w:t>SC Finishing Facility</w:t>
            </w:r>
          </w:p>
        </w:tc>
        <w:tc>
          <w:tcPr>
            <w:tcW w:type="dxa" w:w="1728"/>
          </w:tcPr>
          <w:p>
            <w:r>
              <w:rPr>
                <w:rFonts w:ascii="Calibri" w:hAnsi="Calibri"/>
                <w:sz w:val="22"/>
              </w:rPr>
              <w:t>On track for H2 2026 production start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Execution milestone; any delay would be a negative signal.</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remarkably stable since the Q1 print — the Street has not chased numbers higher despite the beat, suggesting </w:t>
      </w:r>
      <w:r>
        <w:rPr>
          <w:rFonts w:ascii="Calibri" w:hAnsi="Calibri"/>
          <w:b/>
          <w:color w:val="30A46C"/>
          <w:sz w:val="22"/>
        </w:rPr>
        <w:t>modest cushion</w:t>
      </w:r>
      <w:r>
        <w:rPr>
          <w:rFonts w:ascii="Calibri" w:hAnsi="Calibri"/>
          <w:b/>
          <w:color w:val="525866"/>
          <w:sz w:val="22"/>
        </w:rPr>
        <w:t xml:space="preserve"> heading into Q2 rather than an elevated bar. FY 2026 consensus is essentially unchanged, implying the market is waiting for Section 232 clarity before revising meaningfully.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 as of May 7, 2026 (Post-Q1 Baseline)</w:t>
            </w:r>
          </w:p>
        </w:tc>
        <w:tc>
          <w:tcPr>
            <w:tcW w:type="dxa" w:w="1080"/>
            <w:shd w:val="clear" w:color="auto" w:fill="3B4259"/>
          </w:tcPr>
          <w:p>
            <w:r>
              <w:rPr>
                <w:rFonts w:ascii="Calibri" w:hAnsi="Calibri"/>
                <w:b/>
                <w:color w:val="FFFFFF"/>
                <w:sz w:val="22"/>
              </w:rPr>
              <w:t>Current Consensus (Jul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 Q2 2026</w:t>
            </w:r>
          </w:p>
        </w:tc>
        <w:tc>
          <w:tcPr>
            <w:tcW w:type="dxa" w:w="1080"/>
          </w:tcPr>
          <w:p>
            <w:r>
              <w:rPr>
                <w:rFonts w:ascii="Calibri" w:hAnsi="Calibri"/>
                <w:sz w:val="22"/>
              </w:rPr>
              <w:t>$1,068M</w:t>
            </w:r>
          </w:p>
        </w:tc>
        <w:tc>
          <w:tcPr>
            <w:tcW w:type="dxa" w:w="1080"/>
          </w:tcPr>
          <w:p>
            <w:r>
              <w:rPr>
                <w:rFonts w:ascii="Calibri" w:hAnsi="Calibri"/>
                <w:sz w:val="22"/>
              </w:rPr>
              <w:t>$1,067M</w:t>
            </w:r>
          </w:p>
        </w:tc>
        <w:tc>
          <w:tcPr>
            <w:tcW w:type="dxa" w:w="1080"/>
          </w:tcPr>
          <w:p>
            <w:r>
              <w:rPr>
                <w:rFonts w:ascii="Calibri" w:hAnsi="Calibri"/>
                <w:sz w:val="22"/>
              </w:rPr>
              <w:t>-0.1%</w:t>
            </w:r>
          </w:p>
        </w:tc>
        <w:tc>
          <w:tcPr>
            <w:tcW w:type="dxa" w:w="1080"/>
          </w:tcPr>
          <w:p>
            <w:r>
              <w:rPr>
                <w:rFonts w:ascii="Calibri" w:hAnsi="Calibri"/>
                <w:sz w:val="22"/>
              </w:rPr>
              <w:t>~Q1 range (~$1.04B)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+2.6% above Q1 actual</w:t>
            </w:r>
          </w:p>
        </w:tc>
      </w:tr>
      <w:tr>
        <w:tc>
          <w:tcPr>
            <w:tcW w:type="dxa" w:w="1080"/>
          </w:tcPr>
          <w:p>
            <w:r>
              <w:rPr>
                <w:rFonts w:ascii="Calibri" w:hAnsi="Calibri"/>
                <w:sz w:val="22"/>
              </w:rPr>
              <w:t>Net Sales — FY 2026</w:t>
            </w:r>
          </w:p>
        </w:tc>
        <w:tc>
          <w:tcPr>
            <w:tcW w:type="dxa" w:w="1080"/>
          </w:tcPr>
          <w:p>
            <w:r>
              <w:rPr>
                <w:rFonts w:ascii="Calibri" w:hAnsi="Calibri"/>
                <w:sz w:val="22"/>
              </w:rPr>
              <w:t>$5,078M</w:t>
            </w:r>
          </w:p>
        </w:tc>
        <w:tc>
          <w:tcPr>
            <w:tcW w:type="dxa" w:w="1080"/>
          </w:tcPr>
          <w:p>
            <w:r>
              <w:rPr>
                <w:rFonts w:ascii="Calibri" w:hAnsi="Calibri"/>
                <w:sz w:val="22"/>
              </w:rPr>
              <w:t>$5,071M</w:t>
            </w:r>
          </w:p>
        </w:tc>
        <w:tc>
          <w:tcPr>
            <w:tcW w:type="dxa" w:w="1080"/>
          </w:tcPr>
          <w:p>
            <w:r>
              <w:rPr>
                <w:rFonts w:ascii="Calibri" w:hAnsi="Calibri"/>
                <w:sz w:val="22"/>
              </w:rPr>
              <w:t>-0.1%</w:t>
            </w:r>
          </w:p>
        </w:tc>
        <w:tc>
          <w:tcPr>
            <w:tcW w:type="dxa" w:w="1080"/>
          </w:tcPr>
          <w:p>
            <w:r>
              <w:rPr>
                <w:rFonts w:ascii="Calibri" w:hAnsi="Calibri"/>
                <w:sz w:val="22"/>
              </w:rPr>
              <w:t>$4.9B – $5.2B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Op. EPS (Incl. 45X) — Q2 2026</w:t>
            </w:r>
          </w:p>
        </w:tc>
        <w:tc>
          <w:tcPr>
            <w:tcW w:type="dxa" w:w="1080"/>
          </w:tcPr>
          <w:p>
            <w:r>
              <w:rPr>
                <w:rFonts w:ascii="Calibri" w:hAnsi="Calibri"/>
                <w:sz w:val="22"/>
              </w:rPr>
              <w:t>$2.80</w:t>
            </w:r>
          </w:p>
        </w:tc>
        <w:tc>
          <w:tcPr>
            <w:tcW w:type="dxa" w:w="1080"/>
          </w:tcPr>
          <w:p>
            <w:r>
              <w:rPr>
                <w:rFonts w:ascii="Calibri" w:hAnsi="Calibri"/>
                <w:sz w:val="22"/>
              </w:rPr>
              <w:t>$2.85</w:t>
            </w:r>
          </w:p>
        </w:tc>
        <w:tc>
          <w:tcPr>
            <w:tcW w:type="dxa" w:w="1080"/>
          </w:tcPr>
          <w:p>
            <w:r>
              <w:rPr>
                <w:rFonts w:ascii="Calibri" w:hAnsi="Calibri"/>
                <w:sz w:val="22"/>
              </w:rPr>
              <w:t>+1.8%</w:t>
            </w:r>
          </w:p>
        </w:tc>
        <w:tc>
          <w:tcPr>
            <w:tcW w:type="dxa" w:w="1080"/>
          </w:tcPr>
          <w:p>
            <w:r>
              <w:rPr>
                <w:rFonts w:ascii="Calibri" w:hAnsi="Calibri"/>
                <w:sz w:val="22"/>
              </w:rPr>
              <w:t>~Q1 EBITDA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below Q1 actual ($3.22)</w:t>
            </w:r>
          </w:p>
        </w:tc>
      </w:tr>
      <w:tr>
        <w:tc>
          <w:tcPr>
            <w:tcW w:type="dxa" w:w="1080"/>
          </w:tcPr>
          <w:p>
            <w:r>
              <w:rPr>
                <w:rFonts w:ascii="Calibri" w:hAnsi="Calibri"/>
                <w:sz w:val="22"/>
              </w:rPr>
              <w:t>Op. EPS (Incl. 45X) — FY 2026</w:t>
            </w:r>
          </w:p>
        </w:tc>
        <w:tc>
          <w:tcPr>
            <w:tcW w:type="dxa" w:w="1080"/>
          </w:tcPr>
          <w:p>
            <w:r>
              <w:rPr>
                <w:rFonts w:ascii="Calibri" w:hAnsi="Calibri"/>
                <w:sz w:val="22"/>
              </w:rPr>
              <w:t>$17.68</w:t>
            </w:r>
          </w:p>
        </w:tc>
        <w:tc>
          <w:tcPr>
            <w:tcW w:type="dxa" w:w="1080"/>
          </w:tcPr>
          <w:p>
            <w:r>
              <w:rPr>
                <w:rFonts w:ascii="Calibri" w:hAnsi="Calibri"/>
                <w:sz w:val="22"/>
              </w:rPr>
              <w:t>$17.51</w:t>
            </w:r>
          </w:p>
        </w:tc>
        <w:tc>
          <w:tcPr>
            <w:tcW w:type="dxa" w:w="1080"/>
          </w:tcPr>
          <w:p>
            <w:r>
              <w:rPr>
                <w:rFonts w:ascii="Calibri" w:hAnsi="Calibri"/>
                <w:sz w:val="22"/>
              </w:rPr>
              <w:t>-1.0%</w:t>
            </w:r>
          </w:p>
        </w:tc>
        <w:tc>
          <w:tcPr>
            <w:tcW w:type="dxa" w:w="1080"/>
          </w:tcPr>
          <w:p>
            <w:r>
              <w:rPr>
                <w:rFonts w:ascii="Calibri" w:hAnsi="Calibri"/>
                <w:sz w:val="22"/>
              </w:rPr>
              <w:t>N/A (no explicit FY EPS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Shipments — Q2 2026 (MW)</w:t>
            </w:r>
          </w:p>
        </w:tc>
        <w:tc>
          <w:tcPr>
            <w:tcW w:type="dxa" w:w="1080"/>
          </w:tcPr>
          <w:p>
            <w:r>
              <w:rPr>
                <w:rFonts w:ascii="Calibri" w:hAnsi="Calibri"/>
                <w:sz w:val="22"/>
              </w:rPr>
              <w:t>3,870</w:t>
            </w:r>
          </w:p>
        </w:tc>
        <w:tc>
          <w:tcPr>
            <w:tcW w:type="dxa" w:w="1080"/>
          </w:tcPr>
          <w:p>
            <w:r>
              <w:rPr>
                <w:rFonts w:ascii="Calibri" w:hAnsi="Calibri"/>
                <w:sz w:val="22"/>
              </w:rPr>
              <w:t>3,791</w:t>
            </w:r>
          </w:p>
        </w:tc>
        <w:tc>
          <w:tcPr>
            <w:tcW w:type="dxa" w:w="1080"/>
          </w:tcPr>
          <w:p>
            <w:r>
              <w:rPr>
                <w:rFonts w:ascii="Calibri" w:hAnsi="Calibri"/>
                <w:sz w:val="22"/>
              </w:rPr>
              <w:t>-2.0%</w:t>
            </w:r>
          </w:p>
        </w:tc>
        <w:tc>
          <w:tcPr>
            <w:tcW w:type="dxa" w:w="1080"/>
          </w:tcPr>
          <w:p>
            <w:r>
              <w:rPr>
                <w:rFonts w:ascii="Calibri" w:hAnsi="Calibri"/>
                <w:sz w:val="22"/>
              </w:rPr>
              <w:t>3,400 – 4,000 MW</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IRA Credits (45X) — Q2 2026 ($M)</w:t>
            </w:r>
          </w:p>
        </w:tc>
        <w:tc>
          <w:tcPr>
            <w:tcW w:type="dxa" w:w="1080"/>
          </w:tcPr>
          <w:p>
            <w:r>
              <w:rPr>
                <w:rFonts w:ascii="Calibri" w:hAnsi="Calibri"/>
                <w:sz w:val="22"/>
              </w:rPr>
              <w:t>$397M</w:t>
            </w:r>
          </w:p>
        </w:tc>
        <w:tc>
          <w:tcPr>
            <w:tcW w:type="dxa" w:w="1080"/>
          </w:tcPr>
          <w:p>
            <w:r>
              <w:rPr>
                <w:rFonts w:ascii="Calibri" w:hAnsi="Calibri"/>
                <w:sz w:val="22"/>
              </w:rPr>
              <w:t>$408M</w:t>
            </w:r>
          </w:p>
        </w:tc>
        <w:tc>
          <w:tcPr>
            <w:tcW w:type="dxa" w:w="1080"/>
          </w:tcPr>
          <w:p>
            <w:r>
              <w:rPr>
                <w:rFonts w:ascii="Calibri" w:hAnsi="Calibri"/>
                <w:sz w:val="22"/>
              </w:rPr>
              <w:t>+2.8%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 ($M)</w:t>
            </w:r>
          </w:p>
        </w:tc>
        <w:tc>
          <w:tcPr>
            <w:tcW w:type="dxa" w:w="1080"/>
          </w:tcPr>
          <w:p>
            <w:r>
              <w:rPr>
                <w:rFonts w:ascii="Calibri" w:hAnsi="Calibri"/>
                <w:sz w:val="22"/>
              </w:rPr>
              <w:t>$466M</w:t>
            </w:r>
          </w:p>
        </w:tc>
        <w:tc>
          <w:tcPr>
            <w:tcW w:type="dxa" w:w="1080"/>
          </w:tcPr>
          <w:p>
            <w:r>
              <w:rPr>
                <w:rFonts w:ascii="Calibri" w:hAnsi="Calibri"/>
                <w:sz w:val="22"/>
              </w:rPr>
              <w:t>$477M</w:t>
            </w:r>
          </w:p>
        </w:tc>
        <w:tc>
          <w:tcPr>
            <w:tcW w:type="dxa" w:w="1080"/>
          </w:tcPr>
          <w:p>
            <w:r>
              <w:rPr>
                <w:rFonts w:ascii="Calibri" w:hAnsi="Calibri"/>
                <w:sz w:val="22"/>
              </w:rPr>
              <w:t>+2.4%</w:t>
            </w:r>
          </w:p>
        </w:tc>
        <w:tc>
          <w:tcPr>
            <w:tcW w:type="dxa" w:w="1080"/>
          </w:tcPr>
          <w:p>
            <w:r>
              <w:rPr>
                <w:rFonts w:ascii="Calibri" w:hAnsi="Calibri"/>
                <w:sz w:val="22"/>
              </w:rPr>
              <w:t>~$520M (same as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 below guidance mid</w:t>
            </w:r>
          </w:p>
        </w:tc>
      </w:tr>
    </w:tbl>
    <w:p>
      <w:r>
        <w:rPr>
          <w:rFonts w:ascii="Calibri" w:hAnsi="Calibri"/>
          <w:i/>
          <w:color w:val="525866"/>
          <w:sz w:val="22"/>
        </w:rPr>
        <w:t>The near-zero estimate drift since the Q1 print is notable: the Street has not revised up despite the Q1 beat, nor revised down despite the stock’s -38% drawdown from its June 3 peak. This suggests consensus is anchored to management’s unchanged guidance rather than reacting to macro or policy noise. The key divergence is Adj. EBITDA, where consensus ($477M) sits ~8% below management’s own Q2 guidance midpoint (~$520M) — a gap that represents potential upside if 45X-qualifying volumes again surprise to the high side as they did in Q1.</w:t>
      </w:r>
    </w:p>
    <w:p>
      <w:r>
        <w:rPr>
          <w:rFonts w:ascii="Calibri" w:hAnsi="Calibri"/>
          <w:i/>
          <w:color w:val="525866"/>
          <w:sz w:val="22"/>
        </w:rPr>
        <w:t>Source: Visible Alpha Consensus and Actuals Data. Post-Q1 baseline as of May 7, 2026 (5 trading days after April 30, 2026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 xml:space="preserve">FSLR surged +57% from the Q1 earnings date to its June 3 all-time high of ~$321, driven by Section 232 optimism and multiple expansion, before reversing sharply -38% to ~$199 today on lawsuit filing and policy timeline delays — the stock has now </w:t>
      </w:r>
      <w:r>
        <w:rPr>
          <w:rFonts w:ascii="Calibri" w:hAnsi="Calibri"/>
          <w:b/>
          <w:color w:val="E5484D"/>
          <w:sz w:val="22"/>
        </w:rPr>
        <w:t>given back all post-earnings gains</w:t>
      </w:r>
      <w:r>
        <w:rPr>
          <w:rFonts w:ascii="Calibri" w:hAnsi="Calibri"/>
          <w:b/>
          <w:color w:val="525866"/>
          <w:sz w:val="22"/>
        </w:rPr>
        <w:t xml:space="preserve"> and is trading below its pre-earnings level, creating an asymmetric setup if Q2 results are solid.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FSLR vs. TAN (Invesco Solar ETF) vs. S&amp;P 500 (SPY) — Indexed to 100 at Q1 2026 Earnings (April 30, 2026). Source: Yahoo Finance / Stock Price Data.</w:t>
      </w:r>
    </w:p>
    <w:p>
      <w:r>
        <w:rPr>
          <w:rFonts w:ascii="Calibri" w:hAnsi="Calibri"/>
          <w:b/>
          <w:color w:val="525866"/>
          <w:sz w:val="22"/>
        </w:rPr>
        <w:t>Performance Summary (April 30 – July 30, 2026):</w:t>
      </w:r>
    </w:p>
    <w:p>
      <w:pPr>
        <w:pStyle w:val="ListBullet"/>
        <w:ind w:left="360" w:hanging="360"/>
      </w:pPr>
      <w:r>
        <w:rPr>
          <w:rFonts w:ascii="Calibri" w:hAnsi="Calibri"/>
          <w:b/>
          <w:color w:val="525866"/>
          <w:sz w:val="22"/>
        </w:rPr>
        <w:t xml:space="preserve">FSLR: </w:t>
      </w:r>
      <w:r>
        <w:rPr>
          <w:rFonts w:ascii="Calibri" w:hAnsi="Calibri"/>
          <w:color w:val="525866"/>
          <w:sz w:val="22"/>
        </w:rPr>
        <w:t>-1.3% (from $201.89 to $199.24) — masks extreme intra-period volatility: +57% peak gain to June 3 high of ~$321, then -38% reversal to current levels.</w:t>
      </w:r>
    </w:p>
    <w:p>
      <w:pPr>
        <w:pStyle w:val="ListBullet"/>
        <w:ind w:left="360" w:hanging="360"/>
      </w:pPr>
      <w:r>
        <w:rPr>
          <w:rFonts w:ascii="Calibri" w:hAnsi="Calibri"/>
          <w:b/>
          <w:color w:val="525866"/>
          <w:sz w:val="22"/>
        </w:rPr>
        <w:t xml:space="preserve">TAN (Solar ETF): </w:t>
      </w:r>
      <w:r>
        <w:rPr>
          <w:rFonts w:ascii="Calibri" w:hAnsi="Calibri"/>
          <w:color w:val="525866"/>
          <w:sz w:val="22"/>
        </w:rPr>
        <w:t>-18.4% (from $58.41 to $47.68) — FSLR significantly outperformed the solar sector on a net basis, reflecting its domestic manufacturing moat.</w:t>
      </w:r>
    </w:p>
    <w:p>
      <w:pPr>
        <w:pStyle w:val="ListBullet"/>
        <w:ind w:left="360" w:hanging="360"/>
      </w:pPr>
      <w:r>
        <w:rPr>
          <w:rFonts w:ascii="Calibri" w:hAnsi="Calibri"/>
          <w:b/>
          <w:color w:val="525866"/>
          <w:sz w:val="22"/>
        </w:rPr>
        <w:t xml:space="preserve">SPY (S&amp;P 500): </w:t>
      </w:r>
      <w:r>
        <w:rPr>
          <w:rFonts w:ascii="Calibri" w:hAnsi="Calibri"/>
          <w:color w:val="525866"/>
          <w:sz w:val="22"/>
        </w:rPr>
        <w:t>+1.5% (from $718.66 to $729.46) — broad market was broadly flat to slightly positive over the period.</w:t>
      </w:r>
    </w:p>
    <w:p>
      <w:pPr>
        <w:pStyle w:val="ListBullet"/>
        <w:ind w:left="360" w:hanging="360"/>
      </w:pPr>
      <w:r>
        <w:rPr>
          <w:rFonts w:ascii="Calibri" w:hAnsi="Calibri"/>
          <w:b/>
          <w:color w:val="525866"/>
          <w:sz w:val="22"/>
        </w:rPr>
        <w:t xml:space="preserve">Key Events: </w:t>
      </w:r>
      <w:r>
        <w:rPr>
          <w:rFonts w:ascii="Calibri" w:hAnsi="Calibri"/>
          <w:color w:val="525866"/>
          <w:sz w:val="22"/>
        </w:rPr>
        <w:t>Q1 2026 earnings beat (Apr 30) → Section 232 optimism rally (May–June) → All-time high $320.95 (Jun 3) → Securities class action lawsuit filed (Jun 30) → Section 232 timeline delayed to August (Jul) → Deutsche Bank upgrade to Buy (Jul) → Current ~$199.</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002FA7"/>
          <w:sz w:val="22"/>
        </w:rPr>
        <w:t>Section 232 polysilicon tariff decision delay to early August</w:t>
      </w:r>
      <w:r>
        <w:rPr>
          <w:rFonts w:ascii="Calibri" w:hAnsi="Calibri"/>
          <w:b/>
          <w:color w:val="525866"/>
          <w:sz w:val="22"/>
        </w:rPr>
        <w:t xml:space="preserve"> — this single binary catalyst, not the Q2 print, is likely to dominate the stock’s trajectory over the next 30 days.</w:t>
      </w:r>
    </w:p>
    <w:p>
      <w:pPr>
        <w:pStyle w:val="ListBullet"/>
        <w:ind w:left="360" w:hanging="360"/>
      </w:pPr>
      <w:r>
        <w:rPr>
          <w:rFonts w:ascii="Calibri" w:hAnsi="Calibri"/>
          <w:b/>
          <w:color w:val="525866"/>
          <w:sz w:val="22"/>
        </w:rPr>
        <w:t xml:space="preserve">Section 232 Polysilicon Tariff Decision Delayed to Early August (Jul 2026): </w:t>
      </w:r>
      <w:r>
        <w:rPr>
          <w:rFonts w:ascii="Calibri" w:hAnsi="Calibri"/>
          <w:color w:val="525866"/>
          <w:sz w:val="22"/>
        </w:rPr>
        <w:t xml:space="preserve">The White House proclamation implementing Section 232 trade remedies on polysilicon/silicon derivatives, initially expected by late June, has been pushed to early August. The DoC submitted its official report in mid-May, giving the White House a 90-day window (expiring ~mid-August). Industry checks suggest the policy is still expected to move forward, potentially at a lower tariff rate than initially anticipated. </w:t>
      </w:r>
      <w:r>
        <w:rPr>
          <w:rFonts w:ascii="Calibri" w:hAnsi="Calibri"/>
          <w:b/>
          <w:color w:val="525866"/>
          <w:sz w:val="22"/>
        </w:rPr>
        <w:t xml:space="preserve">Implication: </w:t>
      </w:r>
      <w:r>
        <w:rPr>
          <w:rFonts w:ascii="Calibri" w:hAnsi="Calibri"/>
          <w:color w:val="525866"/>
          <w:sz w:val="22"/>
        </w:rPr>
        <w:t>This is the single largest unmodeled upside catalyst for FSLR — management’s current guidance assumes no tariff replacement for finished goods after Section 122 expiry in July. A favorable ruling could unlock ~2 GW of Southeast Asian capacity and drive meaningful bookings/pricing upside.</w:t>
      </w:r>
    </w:p>
    <w:p>
      <w:pPr>
        <w:pStyle w:val="ListBullet"/>
        <w:ind w:left="360" w:hanging="360"/>
      </w:pPr>
      <w:r>
        <w:rPr>
          <w:rFonts w:ascii="Calibri" w:hAnsi="Calibri"/>
          <w:b/>
          <w:color w:val="525866"/>
          <w:sz w:val="22"/>
        </w:rPr>
        <w:t xml:space="preserve">Securities Class Action Lawsuit Filed (Jun 30, 2026): </w:t>
      </w:r>
      <w:r>
        <w:rPr>
          <w:rFonts w:ascii="Calibri" w:hAnsi="Calibri"/>
          <w:color w:val="525866"/>
          <w:sz w:val="22"/>
        </w:rPr>
        <w:t xml:space="preserve">Pomerantz LLP filed a federal securities class action in the Eastern District of New York alleging FSLR and certain officers made materially false/misleading statements about tariff management, international facility underutilization (~20% capacity in Malaysia/Vietnam), and onshoring challenges. Class period: Feb 26, 2025 – Feb 24, 2026. Lead plaintiff deadline: August 24, 2026. Multiple law firms have since issued similar notices. </w:t>
      </w:r>
      <w:r>
        <w:rPr>
          <w:rFonts w:ascii="Calibri" w:hAnsi="Calibri"/>
          <w:b/>
          <w:color w:val="525866"/>
          <w:sz w:val="22"/>
        </w:rPr>
        <w:t xml:space="preserve">Implication: </w:t>
      </w:r>
      <w:r>
        <w:rPr>
          <w:rFonts w:ascii="Calibri" w:hAnsi="Calibri"/>
          <w:color w:val="525866"/>
          <w:sz w:val="22"/>
        </w:rPr>
        <w:t>Headline risk and legal overhang; the class period predates current management guidance, limiting direct impact on Q2 results, but sentiment drag is real.</w:t>
      </w:r>
    </w:p>
    <w:p>
      <w:pPr>
        <w:pStyle w:val="ListBullet"/>
        <w:ind w:left="360" w:hanging="360"/>
      </w:pPr>
      <w:r>
        <w:rPr>
          <w:rFonts w:ascii="Calibri" w:hAnsi="Calibri"/>
          <w:b/>
          <w:color w:val="525866"/>
          <w:sz w:val="22"/>
        </w:rPr>
        <w:t xml:space="preserve">FSLR Reaches All-Time High of $320.95 Then Reverses -38% (Jun 3 – Jul 2026): </w:t>
      </w:r>
      <w:r>
        <w:rPr>
          <w:rFonts w:ascii="Calibri" w:hAnsi="Calibri"/>
          <w:color w:val="525866"/>
          <w:sz w:val="22"/>
        </w:rPr>
        <w:t xml:space="preserve">The stock surged to an all-time high on June 3 driven by Section 232 optimism and strong Q1 results, then reversed sharply as the lawsuit was filed and the tariff timeline slipped. At one point FSLR was the most actively traded U.S. equity with $440M in daily turnover. </w:t>
      </w:r>
      <w:r>
        <w:rPr>
          <w:rFonts w:ascii="Calibri" w:hAnsi="Calibri"/>
          <w:b/>
          <w:color w:val="525866"/>
          <w:sz w:val="22"/>
        </w:rPr>
        <w:t xml:space="preserve">Implication: </w:t>
      </w:r>
      <w:r>
        <w:rPr>
          <w:rFonts w:ascii="Calibri" w:hAnsi="Calibri"/>
          <w:color w:val="525866"/>
          <w:sz w:val="22"/>
        </w:rPr>
        <w:t>The stock has reset to pre-earnings levels, removing the ‘priced for perfection’ risk and creating a more balanced setup into Q2.</w:t>
      </w:r>
    </w:p>
    <w:p>
      <w:pPr>
        <w:pStyle w:val="ListBullet"/>
        <w:ind w:left="360" w:hanging="360"/>
      </w:pPr>
      <w:r>
        <w:rPr>
          <w:rFonts w:ascii="Calibri" w:hAnsi="Calibri"/>
          <w:b/>
          <w:color w:val="525866"/>
          <w:sz w:val="22"/>
        </w:rPr>
        <w:t xml:space="preserve">Deutsche Bank Upgrades FSLR to Buy; Wells Fargo Raises PT to $320 (Jul 2026): </w:t>
      </w:r>
      <w:r>
        <w:rPr>
          <w:rFonts w:ascii="Calibri" w:hAnsi="Calibri"/>
          <w:color w:val="525866"/>
          <w:sz w:val="22"/>
        </w:rPr>
        <w:t xml:space="preserve">Deutsche Bank upgraded FSLR to Buy, citing the sharp selloff as an attractive entry point. Wells Fargo raised its price target from $255 to $320, citing expectations for a favorable Section 232 ruling by early August and strong Q1 results. Bernstein initiated with Underperform and a $217 target. </w:t>
      </w:r>
      <w:r>
        <w:rPr>
          <w:rFonts w:ascii="Calibri" w:hAnsi="Calibri"/>
          <w:b/>
          <w:color w:val="525866"/>
          <w:sz w:val="22"/>
        </w:rPr>
        <w:t xml:space="preserve">Implication: </w:t>
      </w:r>
      <w:r>
        <w:rPr>
          <w:rFonts w:ascii="Calibri" w:hAnsi="Calibri"/>
          <w:color w:val="525866"/>
          <w:sz w:val="22"/>
        </w:rPr>
        <w:t>Analyst community is divided; the bull/bear debate centers entirely on Section 232 outcome and 45X credit durability.</w:t>
      </w:r>
    </w:p>
    <w:p>
      <w:pPr>
        <w:pStyle w:val="ListBullet"/>
        <w:ind w:left="360" w:hanging="360"/>
      </w:pPr>
      <w:r>
        <w:rPr>
          <w:rFonts w:ascii="Calibri" w:hAnsi="Calibri"/>
          <w:b/>
          <w:color w:val="525866"/>
          <w:sz w:val="22"/>
        </w:rPr>
        <w:t xml:space="preserve">ITC Section 337 Investigation Formally Instituted (Mar 2026): </w:t>
      </w:r>
      <w:r>
        <w:rPr>
          <w:rFonts w:ascii="Calibri" w:hAnsi="Calibri"/>
          <w:color w:val="525866"/>
          <w:sz w:val="22"/>
        </w:rPr>
        <w:t xml:space="preserve">The ITC formally instituted a Section 337 investigation against respondents representing a significant share of top-10 imported modules. Initial determination expected ~11 months, final decision ~15 months. Management has adopted an open licensing posture, including willingness to license topcon IP to Tesla or any domestic manufacturer. </w:t>
      </w:r>
      <w:r>
        <w:rPr>
          <w:rFonts w:ascii="Calibri" w:hAnsi="Calibri"/>
          <w:b/>
          <w:color w:val="525866"/>
          <w:sz w:val="22"/>
        </w:rPr>
        <w:t xml:space="preserve">Implication: </w:t>
      </w:r>
      <w:r>
        <w:rPr>
          <w:rFonts w:ascii="Calibri" w:hAnsi="Calibri"/>
          <w:color w:val="525866"/>
          <w:sz w:val="22"/>
        </w:rPr>
        <w:t>Structural competitive moat reinforcement; potential to reshape the U.S. module import landscape over the next 12–15 months.</w:t>
      </w:r>
    </w:p>
    <w:p>
      <w:pPr>
        <w:pStyle w:val="ListBullet"/>
        <w:ind w:left="360" w:hanging="360"/>
      </w:pPr>
      <w:r>
        <w:rPr>
          <w:rFonts w:ascii="Calibri" w:hAnsi="Calibri"/>
          <w:b/>
          <w:color w:val="525866"/>
          <w:sz w:val="22"/>
        </w:rPr>
        <w:t xml:space="preserve">South Carolina Finishing Facility On Track for H2 2026 (Q1 2026 Call): </w:t>
      </w:r>
      <w:r>
        <w:rPr>
          <w:rFonts w:ascii="Calibri" w:hAnsi="Calibri"/>
          <w:color w:val="525866"/>
          <w:sz w:val="22"/>
        </w:rPr>
        <w:t xml:space="preserve">Management confirmed the SC finishing facility remains on track for second-half 2026 production start, which will allow ~half of Southeast Asian back-end capacity to be routed through a U.S. finishing line, qualifying those modules for domestic content benefits. </w:t>
      </w:r>
      <w:r>
        <w:rPr>
          <w:rFonts w:ascii="Calibri" w:hAnsi="Calibri"/>
          <w:b/>
          <w:color w:val="525866"/>
          <w:sz w:val="22"/>
        </w:rPr>
        <w:t xml:space="preserve">Implication: </w:t>
      </w:r>
      <w:r>
        <w:rPr>
          <w:rFonts w:ascii="Calibri" w:hAnsi="Calibri"/>
          <w:color w:val="525866"/>
          <w:sz w:val="22"/>
        </w:rPr>
        <w:t>Execution milestone to watch on the Q2 call; any delay would be a negative signal.</w:t>
      </w:r>
    </w:p>
    <w:p>
      <w:pPr>
        <w:pStyle w:val="ListBullet"/>
        <w:ind w:left="360" w:hanging="360"/>
      </w:pPr>
      <w:r>
        <w:rPr>
          <w:rFonts w:ascii="Calibri" w:hAnsi="Calibri"/>
          <w:b/>
          <w:color w:val="525866"/>
          <w:sz w:val="22"/>
        </w:rPr>
        <w:t xml:space="preserve">Perovskite Pilot Line Confirmed for Perrysburg (Q1 2026 Call): </w:t>
      </w:r>
      <w:r>
        <w:rPr>
          <w:rFonts w:ascii="Calibri" w:hAnsi="Calibri"/>
          <w:color w:val="525866"/>
          <w:sz w:val="22"/>
        </w:rPr>
        <w:t xml:space="preserve">Management confirmed a perovskite pilot line (up to 1 GW capacity) at Perrysburg targeting 2027 operational readiness, using back-end tools redeployed from Southeast Asia. Management is evaluating single-junction vs. tandem construct. </w:t>
      </w:r>
      <w:r>
        <w:rPr>
          <w:rFonts w:ascii="Calibri" w:hAnsi="Calibri"/>
          <w:b/>
          <w:color w:val="525866"/>
          <w:sz w:val="22"/>
        </w:rPr>
        <w:t xml:space="preserve">Implication: </w:t>
      </w:r>
      <w:r>
        <w:rPr>
          <w:rFonts w:ascii="Calibri" w:hAnsi="Calibri"/>
          <w:color w:val="525866"/>
          <w:sz w:val="22"/>
        </w:rPr>
        <w:t>Long-term technology optionality; not a near-term earnings driver but signals continued R&amp;D investment.</w:t>
      </w:r>
    </w:p>
    <w:p>
      <w:pPr>
        <w:pStyle w:val="ListBullet"/>
        <w:ind w:left="360" w:hanging="360"/>
      </w:pPr>
      <w:r>
        <w:rPr>
          <w:rFonts w:ascii="Calibri" w:hAnsi="Calibri"/>
          <w:b/>
          <w:color w:val="525866"/>
          <w:sz w:val="22"/>
        </w:rPr>
        <w:t xml:space="preserve">FSLR Shareholders Back Board at Annual Meeting (May 15, 2026): </w:t>
      </w:r>
      <w:r>
        <w:rPr>
          <w:rFonts w:ascii="Calibri" w:hAnsi="Calibri"/>
          <w:color w:val="525866"/>
          <w:sz w:val="22"/>
        </w:rPr>
        <w:t xml:space="preserve">An 8-K filed May 15, 2026 confirmed shareholders voted to support the board and executive pay while voting down a special meeting proposal. </w:t>
      </w:r>
      <w:r>
        <w:rPr>
          <w:rFonts w:ascii="Calibri" w:hAnsi="Calibri"/>
          <w:b/>
          <w:color w:val="525866"/>
          <w:sz w:val="22"/>
        </w:rPr>
        <w:t xml:space="preserve">Implication: </w:t>
      </w:r>
      <w:r>
        <w:rPr>
          <w:rFonts w:ascii="Calibri" w:hAnsi="Calibri"/>
          <w:color w:val="525866"/>
          <w:sz w:val="22"/>
        </w:rPr>
        <w:t>No governance disruption; management continuity confirmed.</w:t>
      </w:r>
    </w:p>
    <w:p>
      <w:pPr>
        <w:pStyle w:val="ListBullet"/>
        <w:ind w:left="360" w:hanging="360"/>
      </w:pPr>
      <w:r>
        <w:rPr>
          <w:rFonts w:ascii="Calibri" w:hAnsi="Calibri"/>
          <w:b/>
          <w:color w:val="525866"/>
          <w:sz w:val="22"/>
        </w:rPr>
        <w:t xml:space="preserve">AD/CVD Investigation on Indian Solar Inputs Deferred to September 10, 2026 (Jul 2026): </w:t>
      </w:r>
      <w:r>
        <w:rPr>
          <w:rFonts w:ascii="Calibri" w:hAnsi="Calibri"/>
          <w:color w:val="525866"/>
          <w:sz w:val="22"/>
        </w:rPr>
        <w:t xml:space="preserve">The U.S. DoC deferred its final determination in the CVD/LTFV investigation of CSPV cells/modules from India (Adani’s Mundra Solar sought extension) to September 10, 2026. </w:t>
      </w:r>
      <w:r>
        <w:rPr>
          <w:rFonts w:ascii="Calibri" w:hAnsi="Calibri"/>
          <w:b/>
          <w:color w:val="525866"/>
          <w:sz w:val="22"/>
        </w:rPr>
        <w:t xml:space="preserve">Implication: </w:t>
      </w:r>
      <w:r>
        <w:rPr>
          <w:rFonts w:ascii="Calibri" w:hAnsi="Calibri"/>
          <w:color w:val="525866"/>
          <w:sz w:val="22"/>
        </w:rPr>
        <w:t>Prolongs uncertainty for Indian solar exporters; incrementally positive for FSLR’s competitive positioning in the U.S. market.</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b/>
          <w:color w:val="525866"/>
          <w:sz w:val="22"/>
        </w:rPr>
        <w:t xml:space="preserve">Peer commentary from Q2 2026 reporting season is </w:t>
      </w:r>
      <w:r>
        <w:rPr>
          <w:rFonts w:ascii="Calibri" w:hAnsi="Calibri"/>
          <w:b/>
          <w:color w:val="30A46C"/>
          <w:sz w:val="22"/>
        </w:rPr>
        <w:t>broadly constructive for utility-scale solar demand</w:t>
      </w:r>
      <w:r>
        <w:rPr>
          <w:rFonts w:ascii="Calibri" w:hAnsi="Calibri"/>
          <w:b/>
          <w:color w:val="525866"/>
          <w:sz w:val="22"/>
        </w:rPr>
        <w:t xml:space="preserve"> (NEE adding 3.6 GW to backlog, ARRY at record $2.4B order book) but signals </w:t>
      </w:r>
      <w:r>
        <w:rPr>
          <w:rFonts w:ascii="Calibri" w:hAnsi="Calibri"/>
          <w:b/>
          <w:color w:val="E5484D"/>
          <w:sz w:val="22"/>
        </w:rPr>
        <w:t>continued residential softness</w:t>
      </w:r>
      <w:r>
        <w:rPr>
          <w:rFonts w:ascii="Calibri" w:hAnsi="Calibri"/>
          <w:b/>
          <w:color w:val="525866"/>
          <w:sz w:val="22"/>
        </w:rPr>
        <w:t xml:space="preserve"> (ENPH U.S. sell-through -34% YoY) and highlights 45X credit monetization and FEOC compliance as key differentiators — all themes that directly benefit FSLR’s utility-scale, domestic-manufacturing positioning.</w:t>
      </w:r>
    </w:p>
    <w:p>
      <w:pPr>
        <w:pStyle w:val="Heading2"/>
      </w:pPr>
      <w:r>
        <w:rPr>
          <w:rFonts w:ascii="Calibri" w:hAnsi="Calibri"/>
          <w:b/>
          <w:color w:val="3B4259"/>
          <w:sz w:val="28"/>
        </w:rPr>
        <w:t>NextEra Energy (NEE) — Q2 2026 Earnings (July 24, 2026)</w:t>
      </w:r>
    </w:p>
    <w:p>
      <w:r>
        <w:rPr>
          <w:rFonts w:ascii="Calibri" w:hAnsi="Calibri"/>
          <w:b/>
          <w:color w:val="525866"/>
          <w:sz w:val="22"/>
        </w:rPr>
        <w:t xml:space="preserve">Relevance: </w:t>
      </w:r>
      <w:r>
        <w:rPr>
          <w:rFonts w:ascii="Calibri" w:hAnsi="Calibri"/>
          <w:color w:val="525866"/>
          <w:sz w:val="22"/>
        </w:rPr>
        <w:t>NEE is the largest U.S. utility-scale solar developer and a key FSLR customer proxy. Its Q2 2026 results provide the most direct read-through on utility-scale solar demand heading into FSLR’s print.</w:t>
      </w:r>
    </w:p>
    <w:p>
      <w:pPr>
        <w:pStyle w:val="ListBullet"/>
        <w:ind w:left="360" w:hanging="360"/>
      </w:pPr>
      <w:r>
        <w:rPr>
          <w:rFonts w:ascii="Calibri" w:hAnsi="Calibri"/>
          <w:b/>
          <w:color w:val="525866"/>
          <w:sz w:val="22"/>
        </w:rPr>
        <w:t xml:space="preserve">Record Backlog Additions: </w:t>
      </w:r>
      <w:r>
        <w:rPr>
          <w:rFonts w:ascii="Calibri" w:hAnsi="Calibri"/>
          <w:b/>
          <w:color w:val="525866"/>
          <w:sz w:val="22"/>
        </w:rPr>
        <w:t xml:space="preserve">Energy Resources added </w:t>
      </w:r>
      <w:r>
        <w:rPr>
          <w:rFonts w:ascii="Calibri" w:hAnsi="Calibri"/>
          <w:b/>
          <w:color w:val="30A46C"/>
          <w:sz w:val="22"/>
        </w:rPr>
        <w:t>3.6 GW of renewables and storage to its backlog in Q2 2026</w:t>
      </w:r>
      <w:r>
        <w:rPr>
          <w:rFonts w:ascii="Calibri" w:hAnsi="Calibri"/>
          <w:color w:val="525866"/>
          <w:sz w:val="22"/>
        </w:rPr>
        <w:t xml:space="preserve"> — its second-largest quarter ever, following a record 4 GW in Q1. Total backlog now stands at ~35.1 GW. </w:t>
      </w:r>
      <w:r>
        <w:rPr>
          <w:rFonts w:ascii="Calibri" w:hAnsi="Calibri"/>
          <w:b/>
          <w:color w:val="525866"/>
          <w:sz w:val="22"/>
        </w:rPr>
        <w:t xml:space="preserve">FSLR Read-Through: </w:t>
      </w:r>
      <w:r>
        <w:rPr>
          <w:rFonts w:ascii="Calibri" w:hAnsi="Calibri"/>
          <w:color w:val="525866"/>
          <w:sz w:val="22"/>
        </w:rPr>
        <w:t>Sustained, large-scale utility solar procurement activity directly supports FSLR’s bookings pipeline and validates the demand environment for its contracted backlog of 47.9 GW.</w:t>
      </w:r>
    </w:p>
    <w:p>
      <w:pPr>
        <w:pStyle w:val="ListBullet"/>
        <w:ind w:left="360" w:hanging="360"/>
      </w:pPr>
      <w:r>
        <w:rPr>
          <w:rFonts w:ascii="Calibri" w:hAnsi="Calibri"/>
          <w:b/>
          <w:color w:val="525866"/>
          <w:sz w:val="22"/>
        </w:rPr>
        <w:t xml:space="preserve">Panels Secured Through 2029: </w:t>
      </w:r>
      <w:r>
        <w:rPr>
          <w:rFonts w:ascii="Calibri" w:hAnsi="Calibri"/>
          <w:b/>
          <w:color w:val="525866"/>
          <w:sz w:val="22"/>
        </w:rPr>
        <w:t xml:space="preserve">NEE disclosed it has </w:t>
      </w:r>
      <w:r>
        <w:rPr>
          <w:rFonts w:ascii="Calibri" w:hAnsi="Calibri"/>
          <w:b/>
          <w:color w:val="525866"/>
          <w:sz w:val="22"/>
        </w:rPr>
        <w:t>proactively secured solar panels through 2029</w:t>
      </w:r>
      <w:r>
        <w:rPr>
          <w:rFonts w:ascii="Calibri" w:hAnsi="Calibri"/>
          <w:color w:val="525866"/>
          <w:sz w:val="22"/>
        </w:rPr>
        <w:t xml:space="preserve"> to support its development plans and has “planned for potential trade impacts.” </w:t>
      </w:r>
      <w:r>
        <w:rPr>
          <w:rFonts w:ascii="Calibri" w:hAnsi="Calibri"/>
          <w:b/>
          <w:color w:val="525866"/>
          <w:sz w:val="22"/>
        </w:rPr>
        <w:t xml:space="preserve">FSLR Read-Through: </w:t>
      </w:r>
      <w:r>
        <w:rPr>
          <w:rFonts w:ascii="Calibri" w:hAnsi="Calibri"/>
          <w:color w:val="525866"/>
          <w:sz w:val="22"/>
        </w:rPr>
        <w:t>Confirms that large developers are locking in multi-year module supply — consistent with FSLR’s contracted backlog strategy and pricing power narrative.</w:t>
      </w:r>
    </w:p>
    <w:p>
      <w:pPr>
        <w:pStyle w:val="ListBullet"/>
        <w:ind w:left="360" w:hanging="360"/>
      </w:pPr>
      <w:r>
        <w:rPr>
          <w:rFonts w:ascii="Calibri" w:hAnsi="Calibri"/>
          <w:b/>
          <w:color w:val="525866"/>
          <w:sz w:val="22"/>
        </w:rPr>
        <w:t xml:space="preserve">Recontracting at $20/MWh Premium: </w:t>
      </w:r>
      <w:r>
        <w:rPr>
          <w:rFonts w:ascii="Calibri" w:hAnsi="Calibri"/>
          <w:b/>
          <w:color w:val="525866"/>
          <w:sz w:val="22"/>
        </w:rPr>
        <w:t xml:space="preserve">NEE recontracted over 500 MW of existing projects since last earnings at an average premium of </w:t>
      </w:r>
      <w:r>
        <w:rPr>
          <w:rFonts w:ascii="Calibri" w:hAnsi="Calibri"/>
          <w:b/>
          <w:color w:val="30A46C"/>
          <w:sz w:val="22"/>
        </w:rPr>
        <w:t>~$20/MWh above recent realized pricing</w:t>
      </w:r>
      <w:r>
        <w:rPr>
          <w:rFonts w:ascii="Calibri" w:hAnsi="Calibri"/>
          <w:color w:val="525866"/>
          <w:sz w:val="22"/>
        </w:rPr>
        <w:t xml:space="preserve">, locked in for ~15 years. </w:t>
      </w:r>
      <w:r>
        <w:rPr>
          <w:rFonts w:ascii="Calibri" w:hAnsi="Calibri"/>
          <w:b/>
          <w:color w:val="525866"/>
          <w:sz w:val="22"/>
        </w:rPr>
        <w:t xml:space="preserve">FSLR Read-Through: </w:t>
      </w:r>
      <w:r>
        <w:rPr>
          <w:rFonts w:ascii="Calibri" w:hAnsi="Calibri"/>
          <w:color w:val="525866"/>
          <w:sz w:val="22"/>
        </w:rPr>
        <w:t>Rising power prices and strong recontracting economics support the case for FSLR’s CuRe technology adjustors and premium pricing in its backlog.</w:t>
      </w:r>
    </w:p>
    <w:p>
      <w:pPr>
        <w:pStyle w:val="ListBullet"/>
        <w:ind w:left="360" w:hanging="360"/>
      </w:pPr>
      <w:r>
        <w:rPr>
          <w:rFonts w:ascii="Calibri" w:hAnsi="Calibri"/>
          <w:b/>
          <w:color w:val="525866"/>
          <w:sz w:val="22"/>
        </w:rPr>
        <w:t xml:space="preserve">Large Load / Data Center Demand Accelerating: </w:t>
      </w:r>
      <w:r>
        <w:rPr>
          <w:rFonts w:ascii="Calibri" w:hAnsi="Calibri"/>
          <w:color w:val="525866"/>
          <w:sz w:val="22"/>
        </w:rPr>
        <w:t xml:space="preserve">FPL updated large load expectations from 6 GW to 8 GW by 2032; Energy Resources now has 30 potential data center hubs under discussion (targeting 40 by year-end). Speed-to-power solutions “many times start with a renewable solution” deployable in 12–18 months. </w:t>
      </w:r>
      <w:r>
        <w:rPr>
          <w:rFonts w:ascii="Calibri" w:hAnsi="Calibri"/>
          <w:b/>
          <w:color w:val="525866"/>
          <w:sz w:val="22"/>
        </w:rPr>
        <w:t xml:space="preserve">FSLR Read-Through: </w:t>
      </w:r>
      <w:r>
        <w:rPr>
          <w:rFonts w:ascii="Calibri" w:hAnsi="Calibri"/>
          <w:color w:val="525866"/>
          <w:sz w:val="22"/>
        </w:rPr>
        <w:t>AI/data center-driven electricity demand is a structural tailwind for utility-scale solar procurement, directly benefiting FSLR’s U.S. module sales.</w:t>
      </w:r>
    </w:p>
    <w:p>
      <w:pPr>
        <w:pStyle w:val="ListBullet"/>
        <w:ind w:left="360" w:hanging="360"/>
      </w:pPr>
      <w:r>
        <w:rPr>
          <w:rFonts w:ascii="Calibri" w:hAnsi="Calibri"/>
          <w:b/>
          <w:color w:val="525866"/>
          <w:sz w:val="22"/>
        </w:rPr>
        <w:t xml:space="preserve">FPL Solar Installations On Track: </w:t>
      </w:r>
      <w:r>
        <w:rPr>
          <w:rFonts w:ascii="Calibri" w:hAnsi="Calibri"/>
          <w:color w:val="525866"/>
          <w:sz w:val="22"/>
        </w:rPr>
        <w:t xml:space="preserve">FPL placed 4 new solar sites into service in Q2 and remains on track to install ~900 MW of solar and 1.4 GW+ of battery storage for the full year. </w:t>
      </w:r>
      <w:r>
        <w:rPr>
          <w:rFonts w:ascii="Calibri" w:hAnsi="Calibri"/>
          <w:b/>
          <w:color w:val="525866"/>
          <w:sz w:val="22"/>
        </w:rPr>
        <w:t xml:space="preserve">FSLR Read-Through: </w:t>
      </w:r>
      <w:r>
        <w:rPr>
          <w:rFonts w:ascii="Calibri" w:hAnsi="Calibri"/>
          <w:color w:val="525866"/>
          <w:sz w:val="22"/>
        </w:rPr>
        <w:t>Continued execution by the largest U.S. utility solar operator confirms no demand-side slowdown in the utility segment.</w:t>
      </w:r>
    </w:p>
    <w:p>
      <w:pPr>
        <w:pStyle w:val="Heading2"/>
      </w:pPr>
      <w:r>
        <w:rPr>
          <w:rFonts w:ascii="Calibri" w:hAnsi="Calibri"/>
          <w:b/>
          <w:color w:val="3B4259"/>
          <w:sz w:val="28"/>
        </w:rPr>
        <w:t>Enphase Energy (ENPH) — Q2 2026 Earnings (July 28, 2026)</w:t>
      </w:r>
    </w:p>
    <w:p>
      <w:r>
        <w:rPr>
          <w:rFonts w:ascii="Calibri" w:hAnsi="Calibri"/>
          <w:b/>
          <w:color w:val="525866"/>
          <w:sz w:val="22"/>
        </w:rPr>
        <w:t xml:space="preserve">Relevance: </w:t>
      </w:r>
      <w:r>
        <w:rPr>
          <w:rFonts w:ascii="Calibri" w:hAnsi="Calibri"/>
          <w:color w:val="525866"/>
          <w:sz w:val="22"/>
        </w:rPr>
        <w:t>ENPH is primarily residential/distributed solar, but its commentary on 45X credits, tariff dynamics, FEOC compliance, and U.S. solar market conditions provides relevant read-throughs for FSLR’s policy and demand environment.</w:t>
      </w:r>
    </w:p>
    <w:p>
      <w:pPr>
        <w:pStyle w:val="ListBullet"/>
        <w:ind w:left="360" w:hanging="360"/>
      </w:pPr>
      <w:r>
        <w:rPr>
          <w:rFonts w:ascii="Calibri" w:hAnsi="Calibri"/>
          <w:b/>
          <w:color w:val="525866"/>
          <w:sz w:val="22"/>
        </w:rPr>
        <w:t xml:space="preserve">U.S. Residential Solar Remains Weak: </w:t>
      </w:r>
      <w:r>
        <w:rPr>
          <w:rFonts w:ascii="Calibri" w:hAnsi="Calibri"/>
          <w:b/>
          <w:color w:val="525866"/>
          <w:sz w:val="22"/>
        </w:rPr>
        <w:t xml:space="preserve">ENPH Q2 U.S. sell-through declined </w:t>
      </w:r>
      <w:r>
        <w:rPr>
          <w:rFonts w:ascii="Calibri" w:hAnsi="Calibri"/>
          <w:b/>
          <w:color w:val="E5484D"/>
          <w:sz w:val="22"/>
        </w:rPr>
        <w:t>-34% YoY</w:t>
      </w:r>
      <w:r>
        <w:rPr>
          <w:rFonts w:ascii="Calibri" w:hAnsi="Calibri"/>
          <w:color w:val="525866"/>
          <w:sz w:val="22"/>
        </w:rPr>
        <w:t xml:space="preserve">, reflecting higher interest rates and the expiration of the 25D tax credit. Industry-wide permits in June increased 4% from May but remain ~30% below prior year. </w:t>
      </w:r>
      <w:r>
        <w:rPr>
          <w:rFonts w:ascii="Calibri" w:hAnsi="Calibri"/>
          <w:b/>
          <w:color w:val="525866"/>
          <w:sz w:val="22"/>
        </w:rPr>
        <w:t xml:space="preserve">FSLR Read-Through: </w:t>
      </w:r>
      <w:r>
        <w:rPr>
          <w:rFonts w:ascii="Calibri" w:hAnsi="Calibri"/>
          <w:color w:val="525866"/>
          <w:sz w:val="22"/>
        </w:rPr>
        <w:t>Residential weakness is largely irrelevant to FSLR (utility-scale focused), but confirms the policy environment is bifurcated — utility-scale (FSLR’s market) is structurally stronger than residential.</w:t>
      </w:r>
    </w:p>
    <w:p>
      <w:pPr>
        <w:pStyle w:val="ListBullet"/>
        <w:ind w:left="360" w:hanging="360"/>
      </w:pPr>
      <w:r>
        <w:rPr>
          <w:rFonts w:ascii="Calibri" w:hAnsi="Calibri"/>
          <w:b/>
          <w:color w:val="525866"/>
          <w:sz w:val="22"/>
        </w:rPr>
        <w:t xml:space="preserve">45X Credit Monetization Active: </w:t>
      </w:r>
      <w:r>
        <w:rPr>
          <w:rFonts w:ascii="Calibri" w:hAnsi="Calibri"/>
          <w:color w:val="525866"/>
          <w:sz w:val="22"/>
        </w:rPr>
        <w:t xml:space="preserve">ENPH shipped ~1.58M U.S.-made microinverters/battery inverters from Texas and South Carolina in Q2, booking associated 45X PTCs. Announced a $150M PTC transfer agreement with a financial institution. </w:t>
      </w:r>
      <w:r>
        <w:rPr>
          <w:rFonts w:ascii="Calibri" w:hAnsi="Calibri"/>
          <w:b/>
          <w:color w:val="525866"/>
          <w:sz w:val="22"/>
        </w:rPr>
        <w:t xml:space="preserve">FSLR Read-Through: </w:t>
      </w:r>
      <w:r>
        <w:rPr>
          <w:rFonts w:ascii="Calibri" w:hAnsi="Calibri"/>
          <w:color w:val="525866"/>
          <w:sz w:val="22"/>
        </w:rPr>
        <w:t>Confirms the 45X credit monetization market is functioning and liquid — directly relevant to FSLR’s ~$408M of expected Q2 IRA credits and its ability to sell credits to third parties.</w:t>
      </w:r>
    </w:p>
    <w:p>
      <w:pPr>
        <w:pStyle w:val="ListBullet"/>
        <w:ind w:left="360" w:hanging="360"/>
      </w:pPr>
      <w:r>
        <w:rPr>
          <w:rFonts w:ascii="Calibri" w:hAnsi="Calibri"/>
          <w:b/>
          <w:color w:val="525866"/>
          <w:sz w:val="22"/>
        </w:rPr>
        <w:t xml:space="preserve">Tariff Impact Moderating: </w:t>
      </w:r>
      <w:r>
        <w:rPr>
          <w:rFonts w:ascii="Calibri" w:hAnsi="Calibri"/>
          <w:color w:val="525866"/>
          <w:sz w:val="22"/>
        </w:rPr>
        <w:t xml:space="preserve">Reciprocal tariff impact reduced from ~5% to ~2% of gross margin following recent rulings. ENPH received ~$41M in IEEPA tariff refunds in Q2 with another $11M post-quarter. </w:t>
      </w:r>
      <w:r>
        <w:rPr>
          <w:rFonts w:ascii="Calibri" w:hAnsi="Calibri"/>
          <w:b/>
          <w:color w:val="525866"/>
          <w:sz w:val="22"/>
        </w:rPr>
        <w:t xml:space="preserve">FSLR Read-Through: </w:t>
      </w:r>
      <w:r>
        <w:rPr>
          <w:rFonts w:ascii="Calibri" w:hAnsi="Calibri"/>
          <w:color w:val="525866"/>
          <w:sz w:val="22"/>
        </w:rPr>
        <w:t>Tariff environment is evolving favorably for domestic manufacturers; FSLR’s non-Chinese supply chain means it is not exposed to the same reciprocal tariff headwinds that hit ENPH.</w:t>
      </w:r>
    </w:p>
    <w:p>
      <w:pPr>
        <w:pStyle w:val="ListBullet"/>
        <w:ind w:left="360" w:hanging="360"/>
      </w:pPr>
      <w:r>
        <w:rPr>
          <w:rFonts w:ascii="Calibri" w:hAnsi="Calibri"/>
          <w:b/>
          <w:color w:val="525866"/>
          <w:sz w:val="22"/>
        </w:rPr>
        <w:t xml:space="preserve">FCC Working on Plan to Ban Chinese Inverters: </w:t>
      </w:r>
      <w:r>
        <w:rPr>
          <w:rFonts w:ascii="Calibri" w:hAnsi="Calibri"/>
          <w:color w:val="525866"/>
          <w:sz w:val="22"/>
        </w:rPr>
        <w:t xml:space="preserve">During the ENPH Q2 call, it was disclosed that the FCC announced it is working on a plan to ban Chinese inverters in the U.S. </w:t>
      </w:r>
      <w:r>
        <w:rPr>
          <w:rFonts w:ascii="Calibri" w:hAnsi="Calibri"/>
          <w:b/>
          <w:color w:val="525866"/>
          <w:sz w:val="22"/>
        </w:rPr>
        <w:t xml:space="preserve">FSLR Read-Through: </w:t>
      </w:r>
      <w:r>
        <w:rPr>
          <w:rFonts w:ascii="Calibri" w:hAnsi="Calibri"/>
          <w:color w:val="525866"/>
          <w:sz w:val="22"/>
        </w:rPr>
        <w:t>Incrementally positive for the broader domestic solar manufacturing narrative; reinforces FSLR’s FEOC-compliant, non-Chinese supply chain as a structural competitive advantage.</w:t>
      </w:r>
    </w:p>
    <w:p>
      <w:pPr>
        <w:pStyle w:val="ListBullet"/>
        <w:ind w:left="360" w:hanging="360"/>
      </w:pPr>
      <w:r>
        <w:rPr>
          <w:rFonts w:ascii="Calibri" w:hAnsi="Calibri"/>
          <w:b/>
          <w:color w:val="525866"/>
          <w:sz w:val="22"/>
        </w:rPr>
        <w:t xml:space="preserve">Europe Battery Demand Accelerating: </w:t>
      </w:r>
      <w:r>
        <w:rPr>
          <w:rFonts w:ascii="Calibri" w:hAnsi="Calibri"/>
          <w:color w:val="525866"/>
          <w:sz w:val="22"/>
        </w:rPr>
        <w:t xml:space="preserve">ENPH Europe revenue +35% sequentially in Q2, sell-through +30%. Netherlands battery activations +102% QoQ driven by net metering phase-out. </w:t>
      </w:r>
      <w:r>
        <w:rPr>
          <w:rFonts w:ascii="Calibri" w:hAnsi="Calibri"/>
          <w:b/>
          <w:color w:val="525866"/>
          <w:sz w:val="22"/>
        </w:rPr>
        <w:t xml:space="preserve">FSLR Read-Through: </w:t>
      </w:r>
      <w:r>
        <w:rPr>
          <w:rFonts w:ascii="Calibri" w:hAnsi="Calibri"/>
          <w:color w:val="525866"/>
          <w:sz w:val="22"/>
        </w:rPr>
        <w:t>Limited direct read-through (FSLR is utility-scale, not residential storage), but confirms global energy transition demand is broadening.</w:t>
      </w:r>
    </w:p>
    <w:p>
      <w:pPr>
        <w:pStyle w:val="Heading2"/>
      </w:pPr>
      <w:r>
        <w:rPr>
          <w:rFonts w:ascii="Calibri" w:hAnsi="Calibri"/>
          <w:b/>
          <w:color w:val="3B4259"/>
          <w:sz w:val="28"/>
        </w:rPr>
        <w:t>Array Technologies (ARRY) — Q1 2026 Earnings (May 6, 2026) &amp; JP Morgan Conference (May 18, 2026)</w:t>
      </w:r>
    </w:p>
    <w:p>
      <w:r>
        <w:rPr>
          <w:rFonts w:ascii="Calibri" w:hAnsi="Calibri"/>
          <w:b/>
          <w:color w:val="525866"/>
          <w:sz w:val="22"/>
        </w:rPr>
        <w:t xml:space="preserve">Relevance: </w:t>
      </w:r>
      <w:r>
        <w:rPr>
          <w:rFonts w:ascii="Calibri" w:hAnsi="Calibri"/>
          <w:color w:val="525866"/>
          <w:sz w:val="22"/>
        </w:rPr>
        <w:t>ARRY is a leading utility-scale solar tracker manufacturer — its order book and demand commentary are a direct proxy for utility-scale solar project activity, which drives FSLR module demand.</w:t>
      </w:r>
    </w:p>
    <w:p>
      <w:pPr>
        <w:pStyle w:val="ListBullet"/>
        <w:ind w:left="360" w:hanging="360"/>
      </w:pPr>
      <w:r>
        <w:rPr>
          <w:rFonts w:ascii="Calibri" w:hAnsi="Calibri"/>
          <w:b/>
          <w:color w:val="525866"/>
          <w:sz w:val="22"/>
        </w:rPr>
        <w:t xml:space="preserve">Record $2.4B Order Book, 2x Book-to-Bill: </w:t>
      </w:r>
      <w:r>
        <w:rPr>
          <w:rFonts w:ascii="Calibri" w:hAnsi="Calibri"/>
          <w:color w:val="525866"/>
          <w:sz w:val="22"/>
        </w:rPr>
        <w:t xml:space="preserve">ARRY reported a record order book of $2.4B in Q1 2026, the second consecutive quarter with a ~2x book-to-bill ratio. 80% of the backlog converts over the next 6 quarters. </w:t>
      </w:r>
      <w:r>
        <w:rPr>
          <w:rFonts w:ascii="Calibri" w:hAnsi="Calibri"/>
          <w:b/>
          <w:color w:val="525866"/>
          <w:sz w:val="22"/>
        </w:rPr>
        <w:t xml:space="preserve">FSLR Read-Through: </w:t>
      </w:r>
      <w:r>
        <w:rPr>
          <w:rFonts w:ascii="Calibri" w:hAnsi="Calibri"/>
          <w:color w:val="525866"/>
          <w:sz w:val="22"/>
        </w:rPr>
        <w:t>Strong tracker demand is a leading indicator of utility-scale solar project activity — directly supportive of FSLR’s module demand pipeline and bookings outlook.</w:t>
      </w:r>
    </w:p>
    <w:p>
      <w:pPr>
        <w:pStyle w:val="ListBullet"/>
        <w:ind w:left="360" w:hanging="360"/>
      </w:pPr>
      <w:r>
        <w:rPr>
          <w:rFonts w:ascii="Calibri" w:hAnsi="Calibri"/>
          <w:b/>
          <w:color w:val="525866"/>
          <w:sz w:val="22"/>
        </w:rPr>
        <w:t xml:space="preserve">Demand Driven by AI/Data Centers and Electrification: </w:t>
      </w:r>
      <w:r>
        <w:rPr>
          <w:rFonts w:ascii="Calibri" w:hAnsi="Calibri"/>
          <w:color w:val="525866"/>
          <w:sz w:val="22"/>
        </w:rPr>
        <w:t xml:space="preserve">ARRY noted “insatiable demand for increased energy across the U.S.” driven by AI, data centers, and industrial electrification. Dialogue with customers has shifted “from megawatts to gigawatts.” </w:t>
      </w:r>
      <w:r>
        <w:rPr>
          <w:rFonts w:ascii="Calibri" w:hAnsi="Calibri"/>
          <w:b/>
          <w:color w:val="525866"/>
          <w:sz w:val="22"/>
        </w:rPr>
        <w:t xml:space="preserve">FSLR Read-Through: </w:t>
      </w:r>
      <w:r>
        <w:rPr>
          <w:rFonts w:ascii="Calibri" w:hAnsi="Calibri"/>
          <w:color w:val="525866"/>
          <w:sz w:val="22"/>
        </w:rPr>
        <w:t>Structural demand tailwind for utility-scale solar is accelerating, not decelerating — consistent with FSLR management’s commentary on demand visibility.</w:t>
      </w:r>
    </w:p>
    <w:p>
      <w:pPr>
        <w:pStyle w:val="ListBullet"/>
        <w:ind w:left="360" w:hanging="360"/>
      </w:pPr>
      <w:r>
        <w:rPr>
          <w:rFonts w:ascii="Calibri" w:hAnsi="Calibri"/>
          <w:b/>
          <w:color w:val="525866"/>
          <w:sz w:val="22"/>
        </w:rPr>
        <w:t xml:space="preserve">Section 232 Tariff Exposure Manageable: </w:t>
      </w:r>
      <w:r>
        <w:rPr>
          <w:rFonts w:ascii="Calibri" w:hAnsi="Calibri"/>
          <w:color w:val="525866"/>
          <w:sz w:val="22"/>
        </w:rPr>
        <w:t xml:space="preserve">ARRY noted its main tariff exposure is Section 232 on steel/aluminum (95% of tariff burden). A ruling in April changed derivative tariffs from 50% to 25% of total component value, which ARRY described as “roughly net neutral” but “a little bit easier to administer.” </w:t>
      </w:r>
      <w:r>
        <w:rPr>
          <w:rFonts w:ascii="Calibri" w:hAnsi="Calibri"/>
          <w:b/>
          <w:color w:val="525866"/>
          <w:sz w:val="22"/>
        </w:rPr>
        <w:t xml:space="preserve">FSLR Read-Through: </w:t>
      </w:r>
      <w:r>
        <w:rPr>
          <w:rFonts w:ascii="Calibri" w:hAnsi="Calibri"/>
          <w:color w:val="525866"/>
          <w:sz w:val="22"/>
        </w:rPr>
        <w:t>Section 232 dynamics are being actively managed across the solar supply chain; FSLR’s exposure is on the polysilicon/module side (not steel), but the broader tariff environment is being navigated constructively by peers.</w:t>
      </w:r>
    </w:p>
    <w:p>
      <w:pPr>
        <w:pStyle w:val="ListBullet"/>
        <w:ind w:left="360" w:hanging="360"/>
      </w:pPr>
      <w:r>
        <w:rPr>
          <w:rFonts w:ascii="Calibri" w:hAnsi="Calibri"/>
          <w:b/>
          <w:color w:val="525866"/>
          <w:sz w:val="22"/>
        </w:rPr>
        <w:t xml:space="preserve">Domestic Content Driving Higher Margins: </w:t>
      </w:r>
      <w:r>
        <w:rPr>
          <w:rFonts w:ascii="Calibri" w:hAnsi="Calibri"/>
          <w:color w:val="525866"/>
          <w:sz w:val="22"/>
        </w:rPr>
        <w:t xml:space="preserve">ARRY is driving a “higher domestic mix within the order book,” noting that “a more domestically oriented order book indicates greater profit opportunity.” 45X benefits contributed to Q1 gross margin outperformance. </w:t>
      </w:r>
      <w:r>
        <w:rPr>
          <w:rFonts w:ascii="Calibri" w:hAnsi="Calibri"/>
          <w:b/>
          <w:color w:val="525866"/>
          <w:sz w:val="22"/>
        </w:rPr>
        <w:t xml:space="preserve">FSLR Read-Through: </w:t>
      </w:r>
      <w:r>
        <w:rPr>
          <w:rFonts w:ascii="Calibri" w:hAnsi="Calibri"/>
          <w:color w:val="525866"/>
          <w:sz w:val="22"/>
        </w:rPr>
        <w:t>Domestic content premium is real and being captured across the solar supply chain — directly validates FSLR’s pricing power narrative for its U.S.-manufactured modules.</w:t>
      </w:r>
    </w:p>
    <w:p>
      <w:pPr>
        <w:pStyle w:val="ListBullet"/>
        <w:ind w:left="360" w:hanging="360"/>
      </w:pPr>
      <w:r>
        <w:rPr>
          <w:rFonts w:ascii="Calibri" w:hAnsi="Calibri"/>
          <w:b/>
          <w:color w:val="525866"/>
          <w:sz w:val="22"/>
        </w:rPr>
        <w:t xml:space="preserve">Q2 2026 Revenue Guided $300–$320M, Margins at High End of Range: </w:t>
      </w:r>
      <w:r>
        <w:rPr>
          <w:rFonts w:ascii="Calibri" w:hAnsi="Calibri"/>
          <w:color w:val="525866"/>
          <w:sz w:val="22"/>
        </w:rPr>
        <w:t xml:space="preserve">ARRY guided Q2 revenue of $300–$320M with adjusted gross margin at the high end of its 26–27% full-year range. </w:t>
      </w:r>
      <w:r>
        <w:rPr>
          <w:rFonts w:ascii="Calibri" w:hAnsi="Calibri"/>
          <w:b/>
          <w:color w:val="525866"/>
          <w:sz w:val="22"/>
        </w:rPr>
        <w:t xml:space="preserve">FSLR Read-Through: </w:t>
      </w:r>
      <w:r>
        <w:rPr>
          <w:rFonts w:ascii="Calibri" w:hAnsi="Calibri"/>
          <w:color w:val="525866"/>
          <w:sz w:val="22"/>
        </w:rPr>
        <w:t>Utility-scale solar project execution is proceeding on schedule with no demand-side disruption — positive for FSLR’s Q2 shipment volumes.</w:t>
      </w:r>
    </w:p>
    <w:p>
      <w:pPr>
        <w:pStyle w:val="Heading2"/>
      </w:pPr>
      <w:r>
        <w:rPr>
          <w:rFonts w:ascii="Calibri" w:hAnsi="Calibri"/>
          <w:b/>
          <w:color w:val="3B4259"/>
          <w:sz w:val="28"/>
        </w:rPr>
        <w:t>SolarEdge (SEDG) — Q1 2026 Earnings (May 6, 2026) &amp; Conferences (May 14 &amp; 28, 2026)</w:t>
      </w:r>
    </w:p>
    <w:p>
      <w:r>
        <w:rPr>
          <w:rFonts w:ascii="Calibri" w:hAnsi="Calibri"/>
          <w:b/>
          <w:color w:val="525866"/>
          <w:sz w:val="22"/>
        </w:rPr>
        <w:t xml:space="preserve">Relevance: </w:t>
      </w:r>
      <w:r>
        <w:rPr>
          <w:rFonts w:ascii="Calibri" w:hAnsi="Calibri"/>
          <w:color w:val="525866"/>
          <w:sz w:val="22"/>
        </w:rPr>
        <w:t>SEDG is primarily a residential/C&amp;I inverter company, but its commentary on FEOC restrictions, 45X credits, domestic content, and U.S. solar market dynamics provides relevant policy read-throughs for FSLR.</w:t>
      </w:r>
    </w:p>
    <w:p>
      <w:pPr>
        <w:pStyle w:val="ListBullet"/>
        <w:ind w:left="360" w:hanging="360"/>
      </w:pPr>
      <w:r>
        <w:rPr>
          <w:rFonts w:ascii="Calibri" w:hAnsi="Calibri"/>
          <w:b/>
          <w:color w:val="525866"/>
          <w:sz w:val="22"/>
        </w:rPr>
        <w:t xml:space="preserve">FEOC Uncertainty Slowing Tax Equity for Residential TPOs: </w:t>
      </w:r>
      <w:r>
        <w:rPr>
          <w:rFonts w:ascii="Calibri" w:hAnsi="Calibri"/>
          <w:color w:val="525866"/>
          <w:sz w:val="22"/>
        </w:rPr>
        <w:t xml:space="preserve">SEDG noted that “lack of clarity around FEOC and slowness in investment into TPOs” has caused the U.S. residential market to “contract.” Tax equity funding for TPOs has slowed, creating strain on installer businesses. </w:t>
      </w:r>
      <w:r>
        <w:rPr>
          <w:rFonts w:ascii="Calibri" w:hAnsi="Calibri"/>
          <w:b/>
          <w:color w:val="525866"/>
          <w:sz w:val="22"/>
        </w:rPr>
        <w:t xml:space="preserve">FSLR Read-Through: </w:t>
      </w:r>
      <w:r>
        <w:rPr>
          <w:rFonts w:ascii="Calibri" w:hAnsi="Calibri"/>
          <w:color w:val="525866"/>
          <w:sz w:val="22"/>
        </w:rPr>
        <w:t>FEOC uncertainty is a residential-sector headwind, not a utility-scale one. FSLR’s utility-scale focus and FEOC-compliant supply chain position it as a beneficiary of the policy environment, not a victim.</w:t>
      </w:r>
    </w:p>
    <w:p>
      <w:pPr>
        <w:pStyle w:val="ListBullet"/>
        <w:ind w:left="360" w:hanging="360"/>
      </w:pPr>
      <w:r>
        <w:rPr>
          <w:rFonts w:ascii="Calibri" w:hAnsi="Calibri"/>
          <w:b/>
          <w:color w:val="525866"/>
          <w:sz w:val="22"/>
        </w:rPr>
        <w:t xml:space="preserve">Domestic Content + FEOC Compliance = Structural Market Share Gains: </w:t>
      </w:r>
      <w:r>
        <w:rPr>
          <w:rFonts w:ascii="Calibri" w:hAnsi="Calibri"/>
          <w:color w:val="525866"/>
          <w:sz w:val="22"/>
        </w:rPr>
        <w:t xml:space="preserve">SEDG highlighted that being “non-FEOC compliant and domestic content compliant” delivers a “40% tax benefit” to C&amp;I customers, driving “a structural shift of market share towards SolarEdge.” Competitors (including one identified as a potential FEOC company) have not made changes to domestic content compliance. </w:t>
      </w:r>
      <w:r>
        <w:rPr>
          <w:rFonts w:ascii="Calibri" w:hAnsi="Calibri"/>
          <w:b/>
          <w:color w:val="525866"/>
          <w:sz w:val="22"/>
        </w:rPr>
        <w:t xml:space="preserve">FSLR Read-Through: </w:t>
      </w:r>
      <w:r>
        <w:rPr>
          <w:rFonts w:ascii="Calibri" w:hAnsi="Calibri"/>
          <w:color w:val="525866"/>
          <w:sz w:val="22"/>
        </w:rPr>
        <w:t>Directly validates FSLR’s core competitive thesis — domestic manufacturing and FEOC compliance are durable, hard-to-replicate advantages that are actively driving market share shifts across the solar supply chain.</w:t>
      </w:r>
    </w:p>
    <w:p>
      <w:pPr>
        <w:pStyle w:val="ListBullet"/>
        <w:ind w:left="360" w:hanging="360"/>
      </w:pPr>
      <w:r>
        <w:rPr>
          <w:rFonts w:ascii="Calibri" w:hAnsi="Calibri"/>
          <w:b/>
          <w:color w:val="525866"/>
          <w:sz w:val="22"/>
        </w:rPr>
        <w:t xml:space="preserve">45X Credits Are a Key Cash Flow Driver: </w:t>
      </w:r>
      <w:r>
        <w:rPr>
          <w:rFonts w:ascii="Calibri" w:hAnsi="Calibri"/>
          <w:color w:val="525866"/>
          <w:sz w:val="22"/>
        </w:rPr>
        <w:t xml:space="preserve">SEDG highlighted “continued ability to monetize 45X credits which are an important contributor to our cash flow expectations.” Nexus platform (U.S.-made) entitled to 45X credits, providing “lower net cost.” </w:t>
      </w:r>
      <w:r>
        <w:rPr>
          <w:rFonts w:ascii="Calibri" w:hAnsi="Calibri"/>
          <w:b/>
          <w:color w:val="525866"/>
          <w:sz w:val="22"/>
        </w:rPr>
        <w:t xml:space="preserve">FSLR Read-Through: </w:t>
      </w:r>
      <w:r>
        <w:rPr>
          <w:rFonts w:ascii="Calibri" w:hAnsi="Calibri"/>
          <w:color w:val="525866"/>
          <w:sz w:val="22"/>
        </w:rPr>
        <w:t>45X credit monetization is a sector-wide theme, not FSLR-specific — but FSLR’s scale (~$418M in Q1 alone) makes it the largest beneficiary in the solar manufacturing space.</w:t>
      </w:r>
    </w:p>
    <w:p>
      <w:pPr>
        <w:pStyle w:val="ListBullet"/>
        <w:ind w:left="360" w:hanging="360"/>
      </w:pPr>
      <w:r>
        <w:rPr>
          <w:rFonts w:ascii="Calibri" w:hAnsi="Calibri"/>
          <w:b/>
          <w:color w:val="525866"/>
          <w:sz w:val="22"/>
        </w:rPr>
        <w:t xml:space="preserve">Europe Demand Inflecting Higher: </w:t>
      </w:r>
      <w:r>
        <w:rPr>
          <w:rFonts w:ascii="Calibri" w:hAnsi="Calibri"/>
          <w:color w:val="525866"/>
          <w:sz w:val="22"/>
        </w:rPr>
        <w:t xml:space="preserve">SEDG noted demand in Europe “picked up in March, a trend that continued into April and May,” driven by rising electricity prices. Entire Q2 Nexus supply for Europe was fully booked. </w:t>
      </w:r>
      <w:r>
        <w:rPr>
          <w:rFonts w:ascii="Calibri" w:hAnsi="Calibri"/>
          <w:b/>
          <w:color w:val="525866"/>
          <w:sz w:val="22"/>
        </w:rPr>
        <w:t xml:space="preserve">FSLR Read-Through: </w:t>
      </w:r>
      <w:r>
        <w:rPr>
          <w:rFonts w:ascii="Calibri" w:hAnsi="Calibri"/>
          <w:color w:val="525866"/>
          <w:sz w:val="22"/>
        </w:rPr>
        <w:t>FSLR has India and international operations; European demand recovery is a modest positive for global solar sentiment, though FSLR’s primary exposure is U.S. utility-scale.</w:t>
      </w:r>
    </w:p>
    <w:p>
      <w:pPr>
        <w:pStyle w:val="ListBullet"/>
        <w:ind w:left="360" w:hanging="360"/>
      </w:pPr>
      <w:r>
        <w:rPr>
          <w:rFonts w:ascii="Calibri" w:hAnsi="Calibri"/>
          <w:b/>
          <w:color w:val="525866"/>
          <w:sz w:val="22"/>
        </w:rPr>
        <w:t xml:space="preserve">Q2 2026 Revenue Guided $325–$355M, Near Breakeven: </w:t>
      </w:r>
      <w:r>
        <w:rPr>
          <w:rFonts w:ascii="Calibri" w:hAnsi="Calibri"/>
          <w:color w:val="525866"/>
          <w:sz w:val="22"/>
        </w:rPr>
        <w:t xml:space="preserve">SEDG guided Q2 revenue of $325–$355M with implied EBIT loss of ~$3.5M at midpoint — approaching breakeven. Non-GAAP gross margin guided 23–27%. </w:t>
      </w:r>
      <w:r>
        <w:rPr>
          <w:rFonts w:ascii="Calibri" w:hAnsi="Calibri"/>
          <w:b/>
          <w:color w:val="525866"/>
          <w:sz w:val="22"/>
        </w:rPr>
        <w:t xml:space="preserve">FSLR Read-Through: </w:t>
      </w:r>
      <w:r>
        <w:rPr>
          <w:rFonts w:ascii="Calibri" w:hAnsi="Calibri"/>
          <w:color w:val="525866"/>
          <w:sz w:val="22"/>
        </w:rPr>
        <w:t>SEDG’s recovery trajectory is separate from FSLR’s (different end markets), but confirms the broader solar equipment sector is stabilizing.</w:t>
      </w:r>
    </w:p>
    <w:p>
      <w:pPr>
        <w:pStyle w:val="Heading2"/>
      </w:pPr>
      <w:r>
        <w:rPr>
          <w:rFonts w:ascii="Calibri" w:hAnsi="Calibri"/>
          <w:b/>
          <w:color w:val="3B4259"/>
          <w:sz w:val="28"/>
        </w:rPr>
        <w:t>Canadian Solar (CSIQ) — Q1 2026 Earnings (May 14, 2026)</w:t>
      </w:r>
    </w:p>
    <w:p>
      <w:r>
        <w:rPr>
          <w:rFonts w:ascii="Calibri" w:hAnsi="Calibri"/>
          <w:b/>
          <w:color w:val="525866"/>
          <w:sz w:val="22"/>
        </w:rPr>
        <w:t xml:space="preserve">Relevance: </w:t>
      </w:r>
      <w:r>
        <w:rPr>
          <w:rFonts w:ascii="Calibri" w:hAnsi="Calibri"/>
          <w:color w:val="525866"/>
          <w:sz w:val="22"/>
        </w:rPr>
        <w:t>CSIQ is a direct competitor to FSLR in the U.S. utility-scale module market, though it uses crystalline silicon technology. Its commentary on U.S. manufacturing ramp, module pricing, and tariff dynamics is a direct competitive read-through.</w:t>
      </w:r>
    </w:p>
    <w:p>
      <w:pPr>
        <w:pStyle w:val="ListBullet"/>
        <w:ind w:left="360" w:hanging="360"/>
      </w:pPr>
      <w:r>
        <w:rPr>
          <w:rFonts w:ascii="Calibri" w:hAnsi="Calibri"/>
          <w:b/>
          <w:color w:val="525866"/>
          <w:sz w:val="22"/>
        </w:rPr>
        <w:t xml:space="preserve">Solar Downturn “Lasted Longer Than Expected”: </w:t>
      </w:r>
      <w:r>
        <w:rPr>
          <w:rFonts w:ascii="Calibri" w:hAnsi="Calibri"/>
          <w:color w:val="525866"/>
          <w:sz w:val="22"/>
        </w:rPr>
        <w:t xml:space="preserve">CSIQ management stated the “solar downturn has lasted longer than expected,” with “incremental price increases not yet fully absorbing upstream cost pressures.” The company is maintaining a “profit-first strategy” by managing volumes in less profitable markets. </w:t>
      </w:r>
      <w:r>
        <w:rPr>
          <w:rFonts w:ascii="Calibri" w:hAnsi="Calibri"/>
          <w:b/>
          <w:color w:val="525866"/>
          <w:sz w:val="22"/>
        </w:rPr>
        <w:t xml:space="preserve">FSLR Read-Through: </w:t>
      </w:r>
      <w:r>
        <w:rPr>
          <w:rFonts w:ascii="Calibri" w:hAnsi="Calibri"/>
          <w:color w:val="525866"/>
          <w:sz w:val="22"/>
        </w:rPr>
        <w:t>Crystalline silicon module pricing remains under pressure from Chinese competition — this is precisely the environment where FSLR’s non-Chinese, FEOC-compliant CadTel technology commands a premium. CSIQ’s struggles validate FSLR’s differentiated positioning.</w:t>
      </w:r>
    </w:p>
    <w:p>
      <w:pPr>
        <w:pStyle w:val="ListBullet"/>
        <w:ind w:left="360" w:hanging="360"/>
      </w:pPr>
      <w:r>
        <w:rPr>
          <w:rFonts w:ascii="Calibri" w:hAnsi="Calibri"/>
          <w:b/>
          <w:color w:val="525866"/>
          <w:sz w:val="22"/>
        </w:rPr>
        <w:t xml:space="preserve">U.S. HJT Cell Factory Ramping (Indiana): </w:t>
      </w:r>
      <w:r>
        <w:rPr>
          <w:rFonts w:ascii="Calibri" w:hAnsi="Calibri"/>
          <w:color w:val="525866"/>
          <w:sz w:val="22"/>
        </w:rPr>
        <w:t xml:space="preserve">CSIQ’s Phase I HJT solar cell factory in Jeffersonville, Indiana (2.1 GW nameplate) produced its first trial cell in March 2026, with commercial operation expected in July 2026. Phase II (4.2 GW additional) to begin trial production in early 2027, bringing total U.S. capacity to 6.3 GW. </w:t>
      </w:r>
      <w:r>
        <w:rPr>
          <w:rFonts w:ascii="Calibri" w:hAnsi="Calibri"/>
          <w:b/>
          <w:color w:val="525866"/>
          <w:sz w:val="22"/>
        </w:rPr>
        <w:t xml:space="preserve">FSLR Read-Through: </w:t>
      </w:r>
      <w:r>
        <w:rPr>
          <w:rFonts w:ascii="Calibri" w:hAnsi="Calibri"/>
          <w:color w:val="525866"/>
          <w:sz w:val="22"/>
        </w:rPr>
        <w:t>CSIQ is ramping U.S. crystalline silicon manufacturing, which could eventually compete with FSLR for domestic content-qualifying module sales. However, FSLR’s CadTel technology and existing scale provide a multi-year head start.</w:t>
      </w:r>
    </w:p>
    <w:p>
      <w:pPr>
        <w:pStyle w:val="ListBullet"/>
        <w:ind w:left="360" w:hanging="360"/>
      </w:pPr>
      <w:r>
        <w:rPr>
          <w:rFonts w:ascii="Calibri" w:hAnsi="Calibri"/>
          <w:b/>
          <w:color w:val="525866"/>
          <w:sz w:val="22"/>
        </w:rPr>
        <w:t xml:space="preserve">IEEPA Tariff Refunds Boosting Margins: </w:t>
      </w:r>
      <w:r>
        <w:rPr>
          <w:rFonts w:ascii="Calibri" w:hAnsi="Calibri"/>
          <w:color w:val="525866"/>
          <w:sz w:val="22"/>
        </w:rPr>
        <w:t xml:space="preserve">CSIQ’s Q1 gross margin of 25.1% was aided by tariff refunds contributing 860 bps. The company has already started receiving IEEPA refund cash. </w:t>
      </w:r>
      <w:r>
        <w:rPr>
          <w:rFonts w:ascii="Calibri" w:hAnsi="Calibri"/>
          <w:b/>
          <w:color w:val="525866"/>
          <w:sz w:val="22"/>
        </w:rPr>
        <w:t xml:space="preserve">FSLR Read-Through: </w:t>
      </w:r>
      <w:r>
        <w:rPr>
          <w:rFonts w:ascii="Calibri" w:hAnsi="Calibri"/>
          <w:color w:val="525866"/>
          <w:sz w:val="22"/>
        </w:rPr>
        <w:t>Tariff refund dynamics are benefiting multiple solar companies; FSLR’s non-Chinese supply chain means it is not exposed to the same tariff headwinds but also does not benefit from IEEPA refunds in the same way.</w:t>
      </w:r>
    </w:p>
    <w:p>
      <w:pPr>
        <w:pStyle w:val="ListBullet"/>
        <w:ind w:left="360" w:hanging="360"/>
      </w:pPr>
      <w:r>
        <w:rPr>
          <w:rFonts w:ascii="Calibri" w:hAnsi="Calibri"/>
          <w:b/>
          <w:color w:val="525866"/>
          <w:sz w:val="22"/>
        </w:rPr>
        <w:t xml:space="preserve">Q2 2026 Guidance: Revenue $1.0–$1.2B, Gross Margin 13–15%: </w:t>
      </w:r>
      <w:r>
        <w:rPr>
          <w:rFonts w:ascii="Calibri" w:hAnsi="Calibri"/>
          <w:color w:val="525866"/>
          <w:sz w:val="22"/>
        </w:rPr>
        <w:t xml:space="preserve">CSIQ guided Q2 revenue of $1.0–$1.2B with gross margin of 13–15% — significantly below FSLR’s expected gross margin profile. </w:t>
      </w:r>
      <w:r>
        <w:rPr>
          <w:rFonts w:ascii="Calibri" w:hAnsi="Calibri"/>
          <w:b/>
          <w:color w:val="525866"/>
          <w:sz w:val="22"/>
        </w:rPr>
        <w:t xml:space="preserve">FSLR Read-Through: </w:t>
      </w:r>
      <w:r>
        <w:rPr>
          <w:rFonts w:ascii="Calibri" w:hAnsi="Calibri"/>
          <w:color w:val="525866"/>
          <w:sz w:val="22"/>
        </w:rPr>
        <w:t>FSLR’s gross margin advantage (consensus ~43% including 45X vs. CSIQ’s 13–15%) reflects the structural value of its domestic manufacturing moat and 45X credit capture.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b/>
          <w:color w:val="525866"/>
          <w:sz w:val="22"/>
        </w:rPr>
        <w:t xml:space="preserve">All open-market sales since Q1 earnings are </w:t>
      </w:r>
      <w:r>
        <w:rPr>
          <w:rFonts w:ascii="Calibri" w:hAnsi="Calibri"/>
          <w:b/>
          <w:color w:val="525866"/>
          <w:sz w:val="22"/>
        </w:rPr>
        <w:t>10b5-1 planned sales</w:t>
      </w:r>
      <w:r>
        <w:rPr>
          <w:rFonts w:ascii="Calibri" w:hAnsi="Calibri"/>
          <w:b/>
          <w:color w:val="525866"/>
          <w:sz w:val="22"/>
        </w:rPr>
        <w:t xml:space="preserve"> — no discretionary selling detected. The absence of any open-market buys despite the stock’s -38% drawdown from its June 3 peak is notable but not alarming given the 10b5-1 plan structure. Director equity awards in late June are routine compensation.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Buehler, Patrick J.</w:t>
            </w:r>
          </w:p>
        </w:tc>
        <w:tc>
          <w:tcPr>
            <w:tcW w:type="dxa" w:w="1440"/>
          </w:tcPr>
          <w:p>
            <w:r>
              <w:rPr>
                <w:rFonts w:ascii="Calibri" w:hAnsi="Calibri"/>
                <w:sz w:val="22"/>
              </w:rPr>
              <w:t>Chief Product Officer</w:t>
            </w:r>
          </w:p>
        </w:tc>
        <w:tc>
          <w:tcPr>
            <w:tcW w:type="dxa" w:w="1440"/>
          </w:tcPr>
          <w:p>
            <w:r>
              <w:rPr>
                <w:rFonts w:ascii="Calibri" w:hAnsi="Calibri"/>
                <w:sz w:val="22"/>
              </w:rPr>
              <w:t>Open Market Sale</w:t>
            </w:r>
          </w:p>
        </w:tc>
        <w:tc>
          <w:tcPr>
            <w:tcW w:type="dxa" w:w="1440"/>
          </w:tcPr>
          <w:p>
            <w:r>
              <w:rPr>
                <w:rFonts w:ascii="Calibri" w:hAnsi="Calibri"/>
                <w:sz w:val="22"/>
              </w:rPr>
              <w:t>3,000</w:t>
            </w:r>
          </w:p>
        </w:tc>
        <w:tc>
          <w:tcPr>
            <w:tcW w:type="dxa" w:w="1440"/>
          </w:tcPr>
          <w:p>
            <w:r>
              <w:rPr>
                <w:rFonts w:ascii="Calibri" w:hAnsi="Calibri"/>
                <w:sz w:val="22"/>
              </w:rPr>
              <w:t>Jun 2, 2026</w:t>
            </w:r>
          </w:p>
        </w:tc>
        <w:tc>
          <w:tcPr>
            <w:tcW w:type="dxa" w:w="1440"/>
          </w:tcPr>
          <w:p>
            <w:r>
              <w:rPr>
                <w:rFonts w:ascii="Calibri" w:hAnsi="Calibri"/>
                <w:sz w:val="22"/>
              </w:rPr>
              <w:t>10b5-1 Planned Sale</w:t>
            </w:r>
          </w:p>
        </w:tc>
      </w:tr>
      <w:tr>
        <w:tc>
          <w:tcPr>
            <w:tcW w:type="dxa" w:w="1440"/>
          </w:tcPr>
          <w:p>
            <w:r>
              <w:rPr>
                <w:rFonts w:ascii="Calibri" w:hAnsi="Calibri"/>
                <w:sz w:val="22"/>
              </w:rPr>
              <w:t>Stockdale, Caroline</w:t>
            </w:r>
          </w:p>
        </w:tc>
        <w:tc>
          <w:tcPr>
            <w:tcW w:type="dxa" w:w="1440"/>
          </w:tcPr>
          <w:p>
            <w:r>
              <w:rPr>
                <w:rFonts w:ascii="Calibri" w:hAnsi="Calibri"/>
                <w:sz w:val="22"/>
              </w:rPr>
              <w:t>Chief People &amp; Comm. Officer</w:t>
            </w:r>
          </w:p>
        </w:tc>
        <w:tc>
          <w:tcPr>
            <w:tcW w:type="dxa" w:w="1440"/>
          </w:tcPr>
          <w:p>
            <w:r>
              <w:rPr>
                <w:rFonts w:ascii="Calibri" w:hAnsi="Calibri"/>
                <w:sz w:val="22"/>
              </w:rPr>
              <w:t>Open Market Sale</w:t>
            </w:r>
          </w:p>
        </w:tc>
        <w:tc>
          <w:tcPr>
            <w:tcW w:type="dxa" w:w="1440"/>
          </w:tcPr>
          <w:p>
            <w:r>
              <w:rPr>
                <w:rFonts w:ascii="Calibri" w:hAnsi="Calibri"/>
                <w:sz w:val="22"/>
              </w:rPr>
              <w:t>10,628</w:t>
            </w:r>
          </w:p>
        </w:tc>
        <w:tc>
          <w:tcPr>
            <w:tcW w:type="dxa" w:w="1440"/>
          </w:tcPr>
          <w:p>
            <w:r>
              <w:rPr>
                <w:rFonts w:ascii="Calibri" w:hAnsi="Calibri"/>
                <w:sz w:val="22"/>
              </w:rPr>
              <w:t>May 28, 2026</w:t>
            </w:r>
          </w:p>
        </w:tc>
        <w:tc>
          <w:tcPr>
            <w:tcW w:type="dxa" w:w="1440"/>
          </w:tcPr>
          <w:p>
            <w:r>
              <w:rPr>
                <w:rFonts w:ascii="Calibri" w:hAnsi="Calibri"/>
                <w:sz w:val="22"/>
              </w:rPr>
              <w:t>10b5-1 Planned Sale</w:t>
            </w:r>
          </w:p>
        </w:tc>
      </w:tr>
      <w:tr>
        <w:tc>
          <w:tcPr>
            <w:tcW w:type="dxa" w:w="1440"/>
          </w:tcPr>
          <w:p>
            <w:r>
              <w:rPr>
                <w:rFonts w:ascii="Calibri" w:hAnsi="Calibri"/>
                <w:sz w:val="22"/>
              </w:rPr>
              <w:t>Widmar, Mark 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1,977</w:t>
            </w:r>
          </w:p>
        </w:tc>
        <w:tc>
          <w:tcPr>
            <w:tcW w:type="dxa" w:w="1440"/>
          </w:tcPr>
          <w:p>
            <w:r>
              <w:rPr>
                <w:rFonts w:ascii="Calibri" w:hAnsi="Calibri"/>
                <w:sz w:val="22"/>
              </w:rPr>
              <w:t>May 22, 2026</w:t>
            </w:r>
          </w:p>
        </w:tc>
        <w:tc>
          <w:tcPr>
            <w:tcW w:type="dxa" w:w="1440"/>
          </w:tcPr>
          <w:p>
            <w:r>
              <w:rPr>
                <w:rFonts w:ascii="Calibri" w:hAnsi="Calibri"/>
                <w:sz w:val="22"/>
              </w:rPr>
              <w:t>10b5-1 Planned Sale</w:t>
            </w:r>
          </w:p>
        </w:tc>
      </w:tr>
      <w:tr>
        <w:tc>
          <w:tcPr>
            <w:tcW w:type="dxa" w:w="1440"/>
          </w:tcPr>
          <w:p>
            <w:r>
              <w:rPr>
                <w:rFonts w:ascii="Calibri" w:hAnsi="Calibri"/>
                <w:sz w:val="22"/>
              </w:rPr>
              <w:t>Widmar, Mark 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4,815</w:t>
            </w:r>
          </w:p>
        </w:tc>
        <w:tc>
          <w:tcPr>
            <w:tcW w:type="dxa" w:w="1440"/>
          </w:tcPr>
          <w:p>
            <w:r>
              <w:rPr>
                <w:rFonts w:ascii="Calibri" w:hAnsi="Calibri"/>
                <w:sz w:val="22"/>
              </w:rPr>
              <w:t>May 21, 2026</w:t>
            </w:r>
          </w:p>
        </w:tc>
        <w:tc>
          <w:tcPr>
            <w:tcW w:type="dxa" w:w="1440"/>
          </w:tcPr>
          <w:p>
            <w:r>
              <w:rPr>
                <w:rFonts w:ascii="Calibri" w:hAnsi="Calibri"/>
                <w:sz w:val="22"/>
              </w:rPr>
              <w:t>10b5-1 Planned Sale</w:t>
            </w:r>
          </w:p>
        </w:tc>
      </w:tr>
      <w:tr>
        <w:tc>
          <w:tcPr>
            <w:tcW w:type="dxa" w:w="1440"/>
          </w:tcPr>
          <w:p>
            <w:r>
              <w:rPr>
                <w:rFonts w:ascii="Calibri" w:hAnsi="Calibri"/>
                <w:sz w:val="22"/>
              </w:rPr>
              <w:t>Verma, Kuntal Kumar</w:t>
            </w:r>
          </w:p>
        </w:tc>
        <w:tc>
          <w:tcPr>
            <w:tcW w:type="dxa" w:w="1440"/>
          </w:tcPr>
          <w:p>
            <w:r>
              <w:rPr>
                <w:rFonts w:ascii="Calibri" w:hAnsi="Calibri"/>
                <w:sz w:val="22"/>
              </w:rPr>
              <w:t>Chief Manufacturing Officer</w:t>
            </w:r>
          </w:p>
        </w:tc>
        <w:tc>
          <w:tcPr>
            <w:tcW w:type="dxa" w:w="1440"/>
          </w:tcPr>
          <w:p>
            <w:r>
              <w:rPr>
                <w:rFonts w:ascii="Calibri" w:hAnsi="Calibri"/>
                <w:sz w:val="22"/>
              </w:rPr>
              <w:t>Open Market Sale</w:t>
            </w:r>
          </w:p>
        </w:tc>
        <w:tc>
          <w:tcPr>
            <w:tcW w:type="dxa" w:w="1440"/>
          </w:tcPr>
          <w:p>
            <w:r>
              <w:rPr>
                <w:rFonts w:ascii="Calibri" w:hAnsi="Calibri"/>
                <w:sz w:val="22"/>
              </w:rPr>
              <w:t>582</w:t>
            </w:r>
          </w:p>
        </w:tc>
        <w:tc>
          <w:tcPr>
            <w:tcW w:type="dxa" w:w="1440"/>
          </w:tcPr>
          <w:p>
            <w:r>
              <w:rPr>
                <w:rFonts w:ascii="Calibri" w:hAnsi="Calibri"/>
                <w:sz w:val="22"/>
              </w:rPr>
              <w:t>May 21, 2026</w:t>
            </w:r>
          </w:p>
        </w:tc>
        <w:tc>
          <w:tcPr>
            <w:tcW w:type="dxa" w:w="1440"/>
          </w:tcPr>
          <w:p>
            <w:r>
              <w:rPr>
                <w:rFonts w:ascii="Calibri" w:hAnsi="Calibri"/>
                <w:sz w:val="22"/>
              </w:rPr>
              <w:t>10b5-1 Planned Sale</w:t>
            </w:r>
          </w:p>
        </w:tc>
      </w:tr>
      <w:tr>
        <w:tc>
          <w:tcPr>
            <w:tcW w:type="dxa" w:w="1440"/>
          </w:tcPr>
          <w:p>
            <w:r>
              <w:rPr>
                <w:rFonts w:ascii="Calibri" w:hAnsi="Calibri"/>
                <w:sz w:val="22"/>
              </w:rPr>
              <w:t>Widmar, Mark 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9,926</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Widmar, Mark 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1,300</w:t>
            </w:r>
          </w:p>
        </w:tc>
        <w:tc>
          <w:tcPr>
            <w:tcW w:type="dxa" w:w="1440"/>
          </w:tcPr>
          <w:p>
            <w:r>
              <w:rPr>
                <w:rFonts w:ascii="Calibri" w:hAnsi="Calibri"/>
                <w:sz w:val="22"/>
              </w:rPr>
              <w:t>May 13, 2026</w:t>
            </w:r>
          </w:p>
        </w:tc>
        <w:tc>
          <w:tcPr>
            <w:tcW w:type="dxa" w:w="1440"/>
          </w:tcPr>
          <w:p>
            <w:r>
              <w:rPr>
                <w:rFonts w:ascii="Calibri" w:hAnsi="Calibri"/>
                <w:sz w:val="22"/>
              </w:rPr>
              <w:t>10b5-1 Planned Sale</w:t>
            </w:r>
          </w:p>
        </w:tc>
      </w:tr>
      <w:tr>
        <w:tc>
          <w:tcPr>
            <w:tcW w:type="dxa" w:w="1440"/>
          </w:tcPr>
          <w:p>
            <w:r>
              <w:rPr>
                <w:rFonts w:ascii="Calibri" w:hAnsi="Calibri"/>
                <w:sz w:val="22"/>
              </w:rPr>
              <w:t>Verma, Kuntal Kumar</w:t>
            </w:r>
          </w:p>
        </w:tc>
        <w:tc>
          <w:tcPr>
            <w:tcW w:type="dxa" w:w="1440"/>
          </w:tcPr>
          <w:p>
            <w:r>
              <w:rPr>
                <w:rFonts w:ascii="Calibri" w:hAnsi="Calibri"/>
                <w:sz w:val="22"/>
              </w:rPr>
              <w:t>Chief Manufacturing Officer</w:t>
            </w:r>
          </w:p>
        </w:tc>
        <w:tc>
          <w:tcPr>
            <w:tcW w:type="dxa" w:w="1440"/>
          </w:tcPr>
          <w:p>
            <w:r>
              <w:rPr>
                <w:rFonts w:ascii="Calibri" w:hAnsi="Calibri"/>
                <w:sz w:val="22"/>
              </w:rPr>
              <w:t>Open Market Sale</w:t>
            </w:r>
          </w:p>
        </w:tc>
        <w:tc>
          <w:tcPr>
            <w:tcW w:type="dxa" w:w="1440"/>
          </w:tcPr>
          <w:p>
            <w:r>
              <w:rPr>
                <w:rFonts w:ascii="Calibri" w:hAnsi="Calibri"/>
                <w:sz w:val="22"/>
              </w:rPr>
              <w:t>2,216</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Verma, Kuntal Kumar</w:t>
            </w:r>
          </w:p>
        </w:tc>
        <w:tc>
          <w:tcPr>
            <w:tcW w:type="dxa" w:w="1440"/>
          </w:tcPr>
          <w:p>
            <w:r>
              <w:rPr>
                <w:rFonts w:ascii="Calibri" w:hAnsi="Calibri"/>
                <w:sz w:val="22"/>
              </w:rPr>
              <w:t>Chief Manufacturing Officer</w:t>
            </w:r>
          </w:p>
        </w:tc>
        <w:tc>
          <w:tcPr>
            <w:tcW w:type="dxa" w:w="1440"/>
          </w:tcPr>
          <w:p>
            <w:r>
              <w:rPr>
                <w:rFonts w:ascii="Calibri" w:hAnsi="Calibri"/>
                <w:sz w:val="22"/>
              </w:rPr>
              <w:t>Open Market Sale</w:t>
            </w:r>
          </w:p>
        </w:tc>
        <w:tc>
          <w:tcPr>
            <w:tcW w:type="dxa" w:w="1440"/>
          </w:tcPr>
          <w:p>
            <w:r>
              <w:rPr>
                <w:rFonts w:ascii="Calibri" w:hAnsi="Calibri"/>
                <w:sz w:val="22"/>
              </w:rPr>
              <w:t>1,455</w:t>
            </w:r>
          </w:p>
        </w:tc>
        <w:tc>
          <w:tcPr>
            <w:tcW w:type="dxa" w:w="1440"/>
          </w:tcPr>
          <w:p>
            <w:r>
              <w:rPr>
                <w:rFonts w:ascii="Calibri" w:hAnsi="Calibri"/>
                <w:sz w:val="22"/>
              </w:rPr>
              <w:t>May 13, 2026</w:t>
            </w:r>
          </w:p>
        </w:tc>
        <w:tc>
          <w:tcPr>
            <w:tcW w:type="dxa" w:w="1440"/>
          </w:tcPr>
          <w:p>
            <w:r>
              <w:rPr>
                <w:rFonts w:ascii="Calibri" w:hAnsi="Calibri"/>
                <w:sz w:val="22"/>
              </w:rPr>
              <w:t>10b5-1 Planned Sale</w:t>
            </w:r>
          </w:p>
        </w:tc>
      </w:tr>
      <w:tr>
        <w:tc>
          <w:tcPr>
            <w:tcW w:type="dxa" w:w="1440"/>
          </w:tcPr>
          <w:p>
            <w:r>
              <w:rPr>
                <w:rFonts w:ascii="Calibri" w:hAnsi="Calibri"/>
                <w:sz w:val="22"/>
              </w:rPr>
              <w:t>ANTOUN, Georges</w:t>
            </w:r>
          </w:p>
        </w:tc>
        <w:tc>
          <w:tcPr>
            <w:tcW w:type="dxa" w:w="1440"/>
          </w:tcPr>
          <w:p>
            <w:r>
              <w:rPr>
                <w:rFonts w:ascii="Calibri" w:hAnsi="Calibri"/>
                <w:sz w:val="22"/>
              </w:rPr>
              <w:t>Chief Commercial Officer</w:t>
            </w:r>
          </w:p>
        </w:tc>
        <w:tc>
          <w:tcPr>
            <w:tcW w:type="dxa" w:w="1440"/>
          </w:tcPr>
          <w:p>
            <w:r>
              <w:rPr>
                <w:rFonts w:ascii="Calibri" w:hAnsi="Calibri"/>
                <w:sz w:val="22"/>
              </w:rPr>
              <w:t>Open Market Sale</w:t>
            </w:r>
          </w:p>
        </w:tc>
        <w:tc>
          <w:tcPr>
            <w:tcW w:type="dxa" w:w="1440"/>
          </w:tcPr>
          <w:p>
            <w:r>
              <w:rPr>
                <w:rFonts w:ascii="Calibri" w:hAnsi="Calibri"/>
                <w:sz w:val="22"/>
              </w:rPr>
              <w:t>566</w:t>
            </w:r>
          </w:p>
        </w:tc>
        <w:tc>
          <w:tcPr>
            <w:tcW w:type="dxa" w:w="1440"/>
          </w:tcPr>
          <w:p>
            <w:r>
              <w:rPr>
                <w:rFonts w:ascii="Calibri" w:hAnsi="Calibri"/>
                <w:sz w:val="22"/>
              </w:rPr>
              <w:t>May 5, 2026</w:t>
            </w:r>
          </w:p>
        </w:tc>
        <w:tc>
          <w:tcPr>
            <w:tcW w:type="dxa" w:w="1440"/>
          </w:tcPr>
          <w:p>
            <w:r>
              <w:rPr>
                <w:rFonts w:ascii="Calibri" w:hAnsi="Calibri"/>
                <w:sz w:val="22"/>
              </w:rPr>
              <w:t>Discretionary (no 10b5-1 flag); RSU vesting-related</w:t>
            </w:r>
          </w:p>
        </w:tc>
      </w:tr>
      <w:tr>
        <w:tc>
          <w:tcPr>
            <w:tcW w:type="dxa" w:w="1440"/>
          </w:tcPr>
          <w:p>
            <w:r>
              <w:rPr>
                <w:rFonts w:ascii="Calibri" w:hAnsi="Calibri"/>
                <w:sz w:val="22"/>
              </w:rPr>
              <w:t>Bradley, Alexander R.</w:t>
            </w:r>
          </w:p>
        </w:tc>
        <w:tc>
          <w:tcPr>
            <w:tcW w:type="dxa" w:w="1440"/>
          </w:tcPr>
          <w:p>
            <w:r>
              <w:rPr>
                <w:rFonts w:ascii="Calibri" w:hAnsi="Calibri"/>
                <w:sz w:val="22"/>
              </w:rPr>
              <w:t>Chief Financial Officer</w:t>
            </w:r>
          </w:p>
        </w:tc>
        <w:tc>
          <w:tcPr>
            <w:tcW w:type="dxa" w:w="1440"/>
          </w:tcPr>
          <w:p>
            <w:r>
              <w:rPr>
                <w:rFonts w:ascii="Calibri" w:hAnsi="Calibri"/>
                <w:sz w:val="22"/>
              </w:rPr>
              <w:t>Open Market Sale</w:t>
            </w:r>
          </w:p>
        </w:tc>
        <w:tc>
          <w:tcPr>
            <w:tcW w:type="dxa" w:w="1440"/>
          </w:tcPr>
          <w:p>
            <w:r>
              <w:rPr>
                <w:rFonts w:ascii="Calibri" w:hAnsi="Calibri"/>
                <w:sz w:val="22"/>
              </w:rPr>
              <w:t>498</w:t>
            </w:r>
          </w:p>
        </w:tc>
        <w:tc>
          <w:tcPr>
            <w:tcW w:type="dxa" w:w="1440"/>
          </w:tcPr>
          <w:p>
            <w:r>
              <w:rPr>
                <w:rFonts w:ascii="Calibri" w:hAnsi="Calibri"/>
                <w:sz w:val="22"/>
              </w:rPr>
              <w:t>May 5, 2026</w:t>
            </w:r>
          </w:p>
        </w:tc>
        <w:tc>
          <w:tcPr>
            <w:tcW w:type="dxa" w:w="1440"/>
          </w:tcPr>
          <w:p>
            <w:r>
              <w:rPr>
                <w:rFonts w:ascii="Calibri" w:hAnsi="Calibri"/>
                <w:sz w:val="22"/>
              </w:rPr>
              <w:t>RSU vesting-related (same-day as M transaction)</w:t>
            </w:r>
          </w:p>
        </w:tc>
      </w:tr>
      <w:tr>
        <w:tc>
          <w:tcPr>
            <w:tcW w:type="dxa" w:w="1440"/>
          </w:tcPr>
          <w:p>
            <w:r>
              <w:rPr>
                <w:rFonts w:ascii="Calibri" w:hAnsi="Calibri"/>
                <w:sz w:val="22"/>
              </w:rPr>
              <w:t>Multiple Directors (8)</w:t>
            </w:r>
          </w:p>
        </w:tc>
        <w:tc>
          <w:tcPr>
            <w:tcW w:type="dxa" w:w="1440"/>
          </w:tcPr>
          <w:p>
            <w:r>
              <w:rPr>
                <w:rFonts w:ascii="Calibri" w:hAnsi="Calibri"/>
                <w:sz w:val="22"/>
              </w:rPr>
              <w:t>Board of Directors</w:t>
            </w:r>
          </w:p>
        </w:tc>
        <w:tc>
          <w:tcPr>
            <w:tcW w:type="dxa" w:w="1440"/>
          </w:tcPr>
          <w:p>
            <w:r>
              <w:rPr>
                <w:rFonts w:ascii="Calibri" w:hAnsi="Calibri"/>
                <w:sz w:val="22"/>
              </w:rPr>
              <w:t>Equity Award (A)</w:t>
            </w:r>
          </w:p>
        </w:tc>
        <w:tc>
          <w:tcPr>
            <w:tcW w:type="dxa" w:w="1440"/>
          </w:tcPr>
          <w:p>
            <w:r>
              <w:rPr>
                <w:rFonts w:ascii="Calibri" w:hAnsi="Calibri"/>
                <w:sz w:val="22"/>
              </w:rPr>
              <w:t>223–313 each</w:t>
            </w:r>
          </w:p>
        </w:tc>
        <w:tc>
          <w:tcPr>
            <w:tcW w:type="dxa" w:w="1440"/>
          </w:tcPr>
          <w:p>
            <w:r>
              <w:rPr>
                <w:rFonts w:ascii="Calibri" w:hAnsi="Calibri"/>
                <w:sz w:val="22"/>
              </w:rPr>
              <w:t>Jun 30, 2026</w:t>
            </w:r>
          </w:p>
        </w:tc>
        <w:tc>
          <w:tcPr>
            <w:tcW w:type="dxa" w:w="1440"/>
          </w:tcPr>
          <w:p>
            <w:r>
              <w:rPr>
                <w:rFonts w:ascii="Calibri" w:hAnsi="Calibri"/>
                <w:sz w:val="22"/>
              </w:rPr>
              <w:t>Routine annual director equity compensation; not open-market purchases</w:t>
            </w:r>
          </w:p>
        </w:tc>
      </w:tr>
    </w:tbl>
    <w:p>
      <w:r>
        <w:rPr>
          <w:rFonts w:ascii="Calibri" w:hAnsi="Calibri"/>
          <w:b/>
          <w:color w:val="525866"/>
          <w:sz w:val="22"/>
        </w:rPr>
        <w:t xml:space="preserve">Analysis: </w:t>
      </w:r>
      <w:r>
        <w:rPr>
          <w:rFonts w:ascii="Calibri" w:hAnsi="Calibri"/>
          <w:i/>
          <w:color w:val="525866"/>
          <w:sz w:val="22"/>
        </w:rPr>
        <w:t xml:space="preserve">The insider transaction picture is clean — all material sales by the CEO (Widmar), Chief Manufacturing Officer (Verma), Chief People Officer (Stockdale), and Chief Product Officer (Buehler) are flagged as 10b5-1 planned sales, meaning they were pre-scheduled and are not discretionary signals. The cluster of RSU vesting-related sales on May 4–5 (immediately post-Q1 earnings) across nearly all C-suite officers is standard post-earnings vesting activity. The June 30 director equity awards are routine annual compensation. </w:t>
      </w:r>
      <w:r>
        <w:rPr>
          <w:rFonts w:ascii="Calibri" w:hAnsi="Calibri"/>
          <w:b/>
          <w:i/>
          <w:color w:val="525866"/>
          <w:sz w:val="22"/>
        </w:rPr>
        <w:t>No open-market buys have been filed despite the stock’s -38% drawdown from its June 3 peak</w:t>
      </w:r>
      <w:r>
        <w:rPr>
          <w:rFonts w:ascii="Calibri" w:hAnsi="Calibri"/>
          <w:i/>
          <w:color w:val="525866"/>
          <w:sz w:val="22"/>
        </w:rPr>
        <w:t xml:space="preserve"> — this is not alarming given the 10b5-1 plan structure and blackout period constraints, but worth monitoring if the stock continues to decline.</w:t>
      </w:r>
    </w:p>
    <w:p>
      <w:r>
        <w:rPr>
          <w:rFonts w:ascii="Calibri" w:hAnsi="Calibri"/>
          <w:i/>
          <w:color w:val="525866"/>
          <w:sz w:val="22"/>
        </w:rPr>
        <w:t>Source: SEC Form 4 filings via Insider Transaction Data.</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 xml:space="preserve">Consensus &amp; Actuals: </w:t>
      </w:r>
      <w:r>
        <w:rPr>
          <w:rFonts w:ascii="Calibri" w:hAnsi="Calibri"/>
          <w:color w:val="525866"/>
          <w:sz w:val="22"/>
        </w:rPr>
        <w:t>Visible Alpha Consensus and Actuals Data. All consensus figures as of latest available (July 2026). Post-Q1 baseline as of May 7, 2026.</w:t>
      </w:r>
    </w:p>
    <w:p>
      <w:pPr>
        <w:pStyle w:val="ListBullet"/>
        <w:ind w:left="360" w:hanging="360"/>
      </w:pPr>
      <w:r>
        <w:rPr>
          <w:rFonts w:ascii="Calibri" w:hAnsi="Calibri"/>
          <w:b/>
          <w:color w:val="525866"/>
          <w:sz w:val="22"/>
        </w:rPr>
        <w:t xml:space="preserve">Stock Price Data: </w:t>
      </w:r>
      <w:r>
        <w:rPr>
          <w:rFonts w:ascii="Calibri" w:hAnsi="Calibri"/>
          <w:color w:val="525866"/>
          <w:sz w:val="22"/>
        </w:rPr>
        <w:t>Yahoo Finance via Stock Price Data dataset. Prices are closing prices. TAN = Invesco Solar ETF (sector benchmark).</w:t>
      </w:r>
    </w:p>
    <w:p>
      <w:pPr>
        <w:pStyle w:val="ListBullet"/>
        <w:ind w:left="360" w:hanging="360"/>
      </w:pPr>
      <w:r>
        <w:rPr>
          <w:rFonts w:ascii="Calibri" w:hAnsi="Calibri"/>
          <w:b/>
          <w:color w:val="525866"/>
          <w:sz w:val="22"/>
        </w:rPr>
        <w:t xml:space="preserve">Insider Transactions: </w:t>
      </w:r>
      <w:r>
        <w:rPr>
          <w:rFonts w:ascii="Calibri" w:hAnsi="Calibri"/>
          <w:color w:val="525866"/>
          <w:sz w:val="22"/>
        </w:rPr>
        <w:t>SEC Form 4 filings via Insider Transaction Data. Open-market buys (P) and sells (S) only, plus equity awards (A) and RSU vestings (M/F) for context.</w:t>
      </w:r>
    </w:p>
    <w:p>
      <w:pPr>
        <w:pStyle w:val="ListBullet"/>
        <w:ind w:left="360" w:hanging="360"/>
      </w:pPr>
      <w:r>
        <w:rPr>
          <w:rFonts w:ascii="Calibri" w:hAnsi="Calibri"/>
          <w:b/>
          <w:color w:val="525866"/>
          <w:sz w:val="22"/>
        </w:rPr>
        <w:t xml:space="preserve">Peer Transcripts: </w:t>
      </w:r>
      <w:r>
        <w:rPr>
          <w:rFonts w:ascii="Calibri" w:hAnsi="Calibri"/>
          <w:color w:val="525866"/>
          <w:sz w:val="22"/>
        </w:rPr>
        <w:t>NEE Q2 2026 Earnings (Jul 24, 2026); ENPH Q2 2026 Earnings (Jul 28, 2026); ARRY Q1 2026 Earnings (May 6, 2026) &amp; JP Morgan Conference (May 18, 2026); SEDG Q1 2026 Earnings (May 6, 2026), Deutsche Bank Solar Conference (May 14, 2026) &amp; TD Cowen Conference (May 28, 2026); CSIQ Q1 2026 Earnings (May 14, 2026).</w:t>
      </w:r>
    </w:p>
    <w:p>
      <w:pPr>
        <w:pStyle w:val="ListBullet"/>
        <w:ind w:left="360" w:hanging="360"/>
      </w:pPr>
      <w:r>
        <w:rPr>
          <w:rFonts w:ascii="Calibri" w:hAnsi="Calibri"/>
          <w:b/>
          <w:color w:val="525866"/>
          <w:sz w:val="22"/>
        </w:rPr>
        <w:t xml:space="preserve">Company Filings: </w:t>
      </w:r>
      <w:r>
        <w:rPr>
          <w:rFonts w:ascii="Calibri" w:hAnsi="Calibri"/>
          <w:color w:val="525866"/>
          <w:sz w:val="22"/>
        </w:rPr>
        <w:t>FSLR Q1 2026 Earnings Call Transcript (April 30, 2026); FSLR 8-K (May 15, 2026 — Annual Meeting Results).</w:t>
      </w:r>
    </w:p>
    <w:p>
      <w:pPr>
        <w:pStyle w:val="ListBullet"/>
        <w:ind w:left="360" w:hanging="360"/>
      </w:pPr>
      <w:r>
        <w:rPr>
          <w:rFonts w:ascii="Calibri" w:hAnsi="Calibri"/>
          <w:b/>
          <w:color w:val="525866"/>
          <w:sz w:val="22"/>
        </w:rPr>
        <w:t xml:space="preserve">Internet Research: </w:t>
      </w:r>
      <w:r>
        <w:rPr>
          <w:rFonts w:ascii="Calibri" w:hAnsi="Calibri"/>
          <w:color w:val="525866"/>
          <w:sz w:val="22"/>
        </w:rPr>
        <w:t>Perplexity AI, Google Search — Section 232 timeline, analyst price target changes, securities class action lawsuit details, stock performance data.</w:t>
      </w:r>
    </w:p>
    <w:p>
      <w:pPr>
        <w:pStyle w:val="ListBullet"/>
        <w:ind w:left="360" w:hanging="360"/>
      </w:pPr>
      <w:r>
        <w:rPr>
          <w:rFonts w:ascii="Calibri" w:hAnsi="Calibri"/>
          <w:i/>
          <w:color w:val="525866"/>
          <w:sz w:val="22"/>
        </w:rPr>
        <w:t>This document is prepared for informational purposes only and does not constitute investment advice. All estimates and consensus figures are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