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tnt-earnings-predictions--2026-07-29"/>
    <w:p>
      <w:pPr>
        <w:pStyle w:val="Heading1"/>
      </w:pPr>
      <w:r>
        <w:t xml:space="preserve">FTNT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~$1.90B vs. cons $1.88B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Billings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~$2.20B vs. cons $2.13B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~$0.79 vs. cons $0.75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billings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9.0</m:t>
              </m:r>
              <m:r>
                <m:rPr>
                  <m:sty m:val="p"/>
                </m:rPr>
                <m:t>–</m:t>
              </m:r>
              <m:r>
                <m:t>9.2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9.1B) vs. cons ~$9.0B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7.80</m:t>
              </m:r>
              <m:r>
                <m:rPr>
                  <m:sty m:val="p"/>
                </m:rPr>
                <m:t>–</m:t>
              </m:r>
              <m:r>
                <m:t>7.95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7.87B) vs. cons ~$7.82B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non-GAAP EPS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3.18</m:t>
              </m:r>
              <m:r>
                <m:rPr>
                  <m:sty m:val="p"/>
                </m:rPr>
                <m:t>–</m:t>
              </m:r>
              <m:r>
                <m:t>3.24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3.21) vs. cons ~$3.16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billings guide (magnitude/decel — the swing factor)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2.28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t>g</m:t>
              </m:r>
              <m:r>
                <m:t>d</m:t>
              </m:r>
              <m:r>
                <m:t>e</m:t>
              </m:r>
              <m:r>
                <m:t>c</m:t>
              </m:r>
              <m:r>
                <m:t>e</m:t>
              </m:r>
              <m:r>
                <m:t>l</m:t>
              </m:r>
              <m:r>
                <m:t>t</m:t>
              </m:r>
              <m:r>
                <m:t>o</m:t>
              </m:r>
              <m:r>
                <m:t> </m:t>
              </m:r>
              <m:r>
                <m:rPr>
                  <m:sty m:val="p"/>
                </m:rPr>
                <m:t>+</m:t>
              </m:r>
              <m:r>
                <m:t>18</m:t>
              </m:r>
              <m:r>
                <m:rPr>
                  <m:sty m:val="p"/>
                </m:rPr>
                <m:t>–</m:t>
              </m:r>
              <m:r>
                <m:t>20</m:t>
              </m:r>
            </m:oMath>
            <w:r>
              <w:t xml:space="preserve">2.32B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Product revenue growth durability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pred ~+35% y/y vs. cons ~+34% (Q2'26); AI/hardware refresh intact but decelerating from Q1 +41%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FTNT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-4.0% (FADE)</w:t>
            </w:r>
          </w:p>
        </w:tc>
        <w:tc>
          <w:tcPr/>
          <w:p>
            <w:pPr>
              <w:pStyle w:val="Compact"/>
            </w:pPr>
            <w:r>
              <w:t xml:space="preserve">Likely a beat-and-raise, but the bar is extreme after a ~90% YTD run and ~48x forward EPS. Billings decel to ~+20% (from +31% in Q1) and Fortinet's habitually conservative Q3/FY raise mean out-period estimates get revised up only modestly. With the beat already 'priced in' and hardware-air-pocket risk in focus, the reaction skews to 'good-but-not-good-enough / sell-the-news.' Because the implied H2 math caps positive revisions relative to valuation, any initial move fades lower over the week rather than following 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2026-07-29T01:22:40Z</dcterms:created>
  <dcterms:modified xsi:type="dcterms:W3CDTF">2026-07-29T01:22:40Z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