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FTNT before writing the preview. Let me gather recent earnings history, filings, news, and stock price data.Let me read the most recent quarter's earnings release and call for guidance and key metrics.Let me pull the year-ago Q2 2025 results for comparison and check the latest news flow.# Fortinet (FTNT) — Q2 2026 Earnings Preview</w:t>
      </w:r>
    </w:p>
    <w:bookmarkStart w:id="9" w:name="X7c1ca7fdddc0d3c8fd78692c443c08ed094e1a5"/>
    <w:p>
      <w:pPr>
        <w:pStyle w:val="Heading3"/>
      </w:pPr>
      <w:r>
        <w:t xml:space="preserve">Reports after the close Wednesday, July 29, 2026 · Conference call 4:30 p.m. ET</w:t>
      </w:r>
    </w:p>
    <w:p>
      <w:r>
        <w:pict>
          <v:rect style="width:0;height:1.5pt" o:hralign="center" o:hrstd="t" o:hr="t"/>
        </w:pict>
      </w:r>
    </w:p>
    <w:bookmarkEnd w:id="9"/>
    <w:bookmarkStart w:id="10" w:name="the-setup-a-high-bar-after-a-monster-run"/>
    <w:p>
      <w:pPr>
        <w:pStyle w:val="Heading2"/>
      </w:pPr>
      <w:r>
        <w:t xml:space="preserve">The setup: a high bar after a monster run</w:t>
      </w:r>
    </w:p>
    <w:p>
      <w:pPr>
        <w:pStyle w:val="FirstParagraph"/>
      </w:pPr>
      <w:r>
        <w:t xml:space="preserve">FTNT enters this print as one of the best-performing large-cap security names of the year. The stock closed at **</w:t>
      </w:r>
      <m:oMath>
        <m:r>
          <m:t>150.01</m:t>
        </m:r>
        <m:r>
          <m:t>o</m:t>
        </m:r>
        <m:r>
          <m:t>n</m:t>
        </m:r>
        <m:r>
          <m:t>7</m:t>
        </m:r>
        <m:r>
          <m:rPr>
            <m:sty m:val="p"/>
          </m:rPr>
          <m:t>/</m:t>
        </m:r>
        <m:r>
          <m:t>28</m:t>
        </m:r>
        <m:r>
          <m:rPr>
            <m:sty m:val="p"/>
          </m:rPr>
          <m:t>*</m:t>
        </m:r>
        <m:r>
          <m:rPr>
            <m:sty m:val="p"/>
          </m:rPr>
          <m:t>*</m:t>
        </m:r>
        <m:r>
          <m:rPr>
            <m:sty m:val="p"/>
          </m:rPr>
          <m:t>,</m:t>
        </m:r>
        <m:r>
          <m:t>u</m:t>
        </m:r>
        <m:r>
          <m:t>p</m:t>
        </m:r>
        <m:r>
          <m:t>r</m:t>
        </m:r>
        <m:r>
          <m:t>o</m:t>
        </m:r>
        <m:r>
          <m:t>u</m:t>
        </m:r>
        <m:r>
          <m:t>g</m:t>
        </m:r>
        <m:r>
          <m:t>h</m:t>
        </m:r>
        <m:r>
          <m:t>l</m:t>
        </m:r>
        <m:r>
          <m:t>y</m:t>
        </m:r>
        <m:r>
          <m:rPr>
            <m:sty m:val="p"/>
          </m:rPr>
          <m:t>*</m:t>
        </m:r>
        <m:r>
          <m:rPr>
            <m:sty m:val="p"/>
          </m:rPr>
          <m:t>*</m:t>
        </m:r>
        <m:r>
          <m:t>93</m:t>
        </m:r>
      </m:oMath>
      <w:r>
        <w:t xml:space="preserve">78 in early January), though it has cooled about **10% from its mid-July peak of ~</w:t>
      </w:r>
      <m:oMath>
        <m:r>
          <m:t>167</m:t>
        </m:r>
        <m:r>
          <m:rPr>
            <m:sty m:val="p"/>
          </m:rPr>
          <m:t>*</m:t>
        </m:r>
        <m:r>
          <m:rPr>
            <m:sty m:val="p"/>
          </m:rPr>
          <m:t>*</m:t>
        </m:r>
        <m:r>
          <m:t>i</m:t>
        </m:r>
        <m:r>
          <m:t>n</m:t>
        </m:r>
        <m:r>
          <m:t>t</m:t>
        </m:r>
        <m:r>
          <m:t>o</m:t>
        </m:r>
        <m:r>
          <m:t>t</m:t>
        </m:r>
        <m:r>
          <m:t>h</m:t>
        </m:r>
        <m:r>
          <m:t>e</m:t>
        </m:r>
        <m:r>
          <m:t>p</m:t>
        </m:r>
        <m:r>
          <m:t>r</m:t>
        </m:r>
        <m:r>
          <m:t>i</m:t>
        </m:r>
        <m:r>
          <m:t>n</m:t>
        </m:r>
        <m:r>
          <m:t>t</m:t>
        </m:r>
        <m:r>
          <m:rPr>
            <m:sty m:val="p"/>
          </m:rPr>
          <m:t>.</m:t>
        </m:r>
        <m:r>
          <m:t>T</m:t>
        </m:r>
        <m:r>
          <m:t>h</m:t>
        </m:r>
        <m:r>
          <m:t>e</m:t>
        </m:r>
        <m:r>
          <m:t>m</m:t>
        </m:r>
        <m:r>
          <m:t>o</m:t>
        </m:r>
        <m:r>
          <m:t>v</m:t>
        </m:r>
        <m:r>
          <m:t>e</m:t>
        </m:r>
        <m:r>
          <m:t>a</m:t>
        </m:r>
        <m:r>
          <m:t>c</m:t>
        </m:r>
        <m:r>
          <m:t>c</m:t>
        </m:r>
        <m:r>
          <m:t>e</m:t>
        </m:r>
        <m:r>
          <m:t>l</m:t>
        </m:r>
        <m:r>
          <m:t>e</m:t>
        </m:r>
        <m:r>
          <m:t>r</m:t>
        </m:r>
        <m:r>
          <m:t>a</m:t>
        </m:r>
        <m:r>
          <m:t>t</m:t>
        </m:r>
        <m:r>
          <m:t>e</m:t>
        </m:r>
        <m:r>
          <m:t>d</m:t>
        </m:r>
        <m:r>
          <m:t>a</m:t>
        </m:r>
        <m:r>
          <m:t>f</m:t>
        </m:r>
        <m:r>
          <m:t>t</m:t>
        </m:r>
        <m:r>
          <m:t>e</m:t>
        </m:r>
        <m:r>
          <m:t>r</m:t>
        </m:r>
        <m:r>
          <m:t>t</m:t>
        </m:r>
        <m:r>
          <m:t>h</m:t>
        </m:r>
        <m:r>
          <m:t>e</m:t>
        </m:r>
        <m:r>
          <m:t>Q</m:t>
        </m:r>
        <m:r>
          <m:t>1</m:t>
        </m:r>
        <m:r>
          <m:t>r</m:t>
        </m:r>
        <m:r>
          <m:t>e</m:t>
        </m:r>
        <m:r>
          <m:t>p</m:t>
        </m:r>
        <m:r>
          <m:t>o</m:t>
        </m:r>
        <m:r>
          <m:t>r</m:t>
        </m:r>
        <m:r>
          <m:t>t</m:t>
        </m:r>
        <m:r>
          <m:t>o</m:t>
        </m:r>
        <m:r>
          <m:t>n</m:t>
        </m:r>
        <m:r>
          <m:t>M</m:t>
        </m:r>
        <m:r>
          <m:t>a</m:t>
        </m:r>
        <m:r>
          <m:t>y</m:t>
        </m:r>
        <m:r>
          <m:t>6</m:t>
        </m:r>
        <m:r>
          <m:rPr>
            <m:sty m:val="p"/>
          </m:rPr>
          <m:t>,</m:t>
        </m:r>
        <m:r>
          <m:t>w</m:t>
        </m:r>
        <m:r>
          <m:t>h</m:t>
        </m:r>
        <m:r>
          <m:t>e</m:t>
        </m:r>
        <m:r>
          <m:t>n</m:t>
        </m:r>
        <m:r>
          <m:t>s</m:t>
        </m:r>
        <m:r>
          <m:t>h</m:t>
        </m:r>
        <m:r>
          <m:t>a</m:t>
        </m:r>
        <m:r>
          <m:t>r</m:t>
        </m:r>
        <m:r>
          <m:t>e</m:t>
        </m:r>
        <m:r>
          <m:t>s</m:t>
        </m:r>
        <m:r>
          <m:t>j</m:t>
        </m:r>
        <m:r>
          <m:t>u</m:t>
        </m:r>
        <m:r>
          <m:t>m</m:t>
        </m:r>
        <m:r>
          <m:t>p</m:t>
        </m:r>
        <m:r>
          <m:t>e</m:t>
        </m:r>
        <m:r>
          <m:t>d</m:t>
        </m:r>
        <m:r>
          <m:t> </m:t>
        </m:r>
        <m:r>
          <m:t>20</m:t>
        </m:r>
      </m:oMath>
      <w:r>
        <w:t xml:space="preserve">90 to ~$108) on a blowout quarter and a raised full-year outlook.</w:t>
      </w:r>
    </w:p>
    <w:p>
      <w:pPr>
        <w:pStyle w:val="BodyText"/>
      </w:pPr>
      <w:r>
        <w:t xml:space="preserve">That rally reflects a narrative shift: FTNT has been repositioned from a "GDP-plus" firewall vendor into an</w:t>
      </w:r>
      <w:r>
        <w:t xml:space="preserve"> </w:t>
      </w:r>
      <w:r>
        <w:rPr>
          <w:b/>
          <w:bCs/>
        </w:rPr>
        <w:t xml:space="preserve">AI infrastructure beneficiary</w:t>
      </w:r>
      <w:r>
        <w:t xml:space="preserve">. Management has leaned hard into the idea that AI is (1) expanding the attack surface, (2) driving higher-throughput/segmentation requirements in AI data centers, and (3) accelerating the convergence of networking and security — all of which favor Fortinet's ASIC-based hardware and single-OS (FortiOS) platform.</w:t>
      </w:r>
    </w:p>
    <w:p>
      <w:pPr>
        <w:pStyle w:val="BodyText"/>
      </w:pPr>
      <w:r>
        <w:t xml:space="preserve">The flip side:</w:t>
      </w:r>
      <w:r>
        <w:t xml:space="preserve"> </w:t>
      </w:r>
      <w:r>
        <w:rPr>
          <w:b/>
          <w:bCs/>
        </w:rPr>
        <w:t xml:space="preserve">expectations and valuation are now elevated.</w:t>
      </w:r>
      <w:r>
        <w:t xml:space="preserve"> </w:t>
      </w:r>
      <w:r>
        <w:t xml:space="preserve">At ~</w:t>
      </w:r>
      <m:oMath>
        <m:r>
          <m:t>150</m:t>
        </m:r>
        <m:r>
          <m:rPr>
            <m:sty m:val="p"/>
          </m:rPr>
          <m:t>,</m:t>
        </m:r>
        <m:r>
          <m:t>F</m:t>
        </m:r>
        <m:r>
          <m:t>T</m:t>
        </m:r>
        <m:r>
          <m:t>N</m:t>
        </m:r>
        <m:r>
          <m:t>T</m:t>
        </m:r>
        <m:r>
          <m:t>t</m:t>
        </m:r>
        <m:r>
          <m:t>r</m:t>
        </m:r>
        <m:r>
          <m:t>a</m:t>
        </m:r>
        <m:r>
          <m:t>d</m:t>
        </m:r>
        <m:r>
          <m:t>e</m:t>
        </m:r>
        <m:r>
          <m:t>s</m:t>
        </m:r>
        <m:r>
          <m:t>a</m:t>
        </m:r>
        <m:r>
          <m:t>r</m:t>
        </m:r>
        <m:r>
          <m:t>o</m:t>
        </m:r>
        <m:r>
          <m:t>u</m:t>
        </m:r>
        <m:r>
          <m:t>n</m:t>
        </m:r>
        <m:r>
          <m:t>d</m:t>
        </m:r>
        <m:r>
          <m:rPr>
            <m:sty m:val="p"/>
          </m:rPr>
          <m:t>*</m:t>
        </m:r>
        <m:r>
          <m:rPr>
            <m:sty m:val="p"/>
          </m:rPr>
          <m:t>*</m:t>
        </m:r>
        <m:r>
          <m:t> </m:t>
        </m:r>
        <m:r>
          <m:t>48</m:t>
        </m:r>
        <m:r>
          <m:t>x</m:t>
        </m:r>
        <m:r>
          <m:rPr>
            <m:sty m:val="p"/>
          </m:rPr>
          <m:t>*</m:t>
        </m:r>
        <m:r>
          <m:rPr>
            <m:sty m:val="p"/>
          </m:rPr>
          <m:t>*</m:t>
        </m:r>
        <m:r>
          <m:t>t</m:t>
        </m:r>
        <m:r>
          <m:t>h</m:t>
        </m:r>
        <m:r>
          <m:t>e</m:t>
        </m:r>
        <m:r>
          <m:t>m</m:t>
        </m:r>
        <m:r>
          <m:t>i</m:t>
        </m:r>
        <m:r>
          <m:t>d</m:t>
        </m:r>
        <m:r>
          <m:t>p</m:t>
        </m:r>
        <m:r>
          <m:t>o</m:t>
        </m:r>
        <m:r>
          <m:t>i</m:t>
        </m:r>
        <m:r>
          <m:t>n</m:t>
        </m:r>
        <m:r>
          <m:t>t</m:t>
        </m:r>
        <m:r>
          <m:t>o</m:t>
        </m:r>
        <m:r>
          <m:t>f</m:t>
        </m:r>
        <m:r>
          <m:t>i</m:t>
        </m:r>
        <m:r>
          <m:t>t</m:t>
        </m:r>
        <m:r>
          <m:t>s</m:t>
        </m:r>
        <m:r>
          <m:t>o</m:t>
        </m:r>
        <m:r>
          <m:t>w</m:t>
        </m:r>
        <m:r>
          <m:t>n</m:t>
        </m:r>
        <m:r>
          <m:t>F</m:t>
        </m:r>
        <m:r>
          <m:t>Y</m:t>
        </m:r>
        <m:r>
          <m:t>26</m:t>
        </m:r>
        <m:r>
          <m:t>n</m:t>
        </m:r>
        <m:r>
          <m:t>o</m:t>
        </m:r>
        <m:r>
          <m:t>n</m:t>
        </m:r>
        <m:r>
          <m:rPr>
            <m:sty m:val="p"/>
          </m:rPr>
          <m:t>−</m:t>
        </m:r>
        <m:r>
          <m:t>G</m:t>
        </m:r>
        <m:r>
          <m:t>A</m:t>
        </m:r>
        <m:r>
          <m:t>A</m:t>
        </m:r>
        <m:r>
          <m:t>P</m:t>
        </m:r>
        <m:r>
          <m:t>E</m:t>
        </m:r>
        <m:r>
          <m:t>P</m:t>
        </m:r>
        <m:r>
          <m:t>S</m:t>
        </m:r>
        <m:r>
          <m:t>g</m:t>
        </m:r>
        <m:r>
          <m:t>u</m:t>
        </m:r>
        <m:r>
          <m:t>i</m:t>
        </m:r>
        <m:r>
          <m:t>d</m:t>
        </m:r>
        <m:r>
          <m:t>e</m:t>
        </m:r>
        <m:r>
          <m:rPr>
            <m:sty m:val="p"/>
          </m:rPr>
          <m:t>(</m:t>
        </m:r>
      </m:oMath>
      <w:r>
        <w:t xml:space="preserve">3.10–$3.16) — a rich multiple for a business guiding to ~15% revenue growth, even with 20%+ billings growth and ~58% FCF margins. After two consecutive beat-and-raises, the market is effectively pricing in another one. Sentiment is described as</w:t>
      </w:r>
      <w:r>
        <w:t xml:space="preserve"> </w:t>
      </w:r>
      <w:r>
        <w:rPr>
          <w:b/>
          <w:bCs/>
        </w:rPr>
        <w:t xml:space="preserve">"very bullish"</w:t>
      </w:r>
      <w:r>
        <w:t xml:space="preserve"> </w:t>
      </w:r>
      <w:r>
        <w:t xml:space="preserve">heading in.</w:t>
      </w:r>
    </w:p>
    <w:p>
      <w:r>
        <w:pict>
          <v:rect style="width:0;height:1.5pt" o:hralign="center" o:hrstd="t" o:hr="t"/>
        </w:pict>
      </w:r>
    </w:p>
    <w:bookmarkEnd w:id="10"/>
    <w:bookmarkStart w:id="11" w:name="what-the-street-expects-for-q2"/>
    <w:p>
      <w:pPr>
        <w:pStyle w:val="Heading2"/>
      </w:pPr>
      <w:r>
        <w:t xml:space="preserve">What the Street expects for Q2</w:t>
      </w:r>
    </w:p>
    <w:p>
      <w:pPr>
        <w:pStyle w:val="FirstParagraph"/>
      </w:pPr>
      <w:r>
        <w:t xml:space="preserve">Consensus (per the news digest) and management's own Q1-issued guidance line up closely:</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Q2'25 actual</w:t>
            </w:r>
          </w:p>
        </w:tc>
        <w:tc>
          <w:tcPr/>
          <w:p>
            <w:pPr>
              <w:pStyle w:val="Compact"/>
            </w:pPr>
            <w:r>
              <w:t xml:space="preserve">Q2'26 guide (issued May)</w:t>
            </w:r>
          </w:p>
        </w:tc>
        <w:tc>
          <w:tcPr/>
          <w:p>
            <w:pPr>
              <w:pStyle w:val="Compact"/>
            </w:pPr>
            <w:r>
              <w:t xml:space="preserve">Street consensus</w:t>
            </w:r>
          </w:p>
        </w:tc>
        <w:tc>
          <w:tcPr/>
          <w:p>
            <w:pPr>
              <w:pStyle w:val="Compact"/>
            </w:pPr>
            <w:r>
              <w:t xml:space="preserve">Implied Y/Y</w:t>
            </w:r>
          </w:p>
        </w:tc>
      </w:tr>
      <w:tr>
        <w:tc>
          <w:tcPr/>
          <w:p>
            <w:pPr>
              <w:pStyle w:val="Compact"/>
            </w:pPr>
            <w:r>
              <w:t xml:space="preserve">Revenue</w:t>
            </w:r>
          </w:p>
        </w:tc>
        <w:tc>
          <w:tcPr/>
          <w:p>
            <w:pPr>
              <w:pStyle w:val="Compact"/>
            </w:pPr>
            <w:r>
              <w:t xml:space="preserve">$1.63B</w:t>
            </w:r>
          </w:p>
        </w:tc>
        <w:tc>
          <w:tcPr/>
          <w:p>
            <w:pPr>
              <w:pStyle w:val="Compact"/>
            </w:pPr>
            <w:r>
              <w:t xml:space="preserve">$1.83–1.93B (mid $1.88B)</w:t>
            </w:r>
          </w:p>
        </w:tc>
        <w:tc>
          <w:tcPr/>
          <w:p>
            <w:pPr>
              <w:pStyle w:val="Compact"/>
            </w:pPr>
            <w:r>
              <w:t xml:space="preserve">~$1.88B</w:t>
            </w:r>
          </w:p>
        </w:tc>
        <w:tc>
          <w:tcPr/>
          <w:p>
            <w:pPr>
              <w:pStyle w:val="Compact"/>
            </w:pPr>
            <w:r>
              <w:rPr>
                <w:b/>
                <w:bCs/>
              </w:rPr>
              <w:t xml:space="preserve">+15–16%</w:t>
            </w:r>
          </w:p>
        </w:tc>
      </w:tr>
      <w:tr>
        <w:tc>
          <w:tcPr/>
          <w:p>
            <w:pPr>
              <w:pStyle w:val="Compact"/>
            </w:pPr>
            <w:r>
              <w:t xml:space="preserve">Billings</w:t>
            </w:r>
          </w:p>
        </w:tc>
        <w:tc>
          <w:tcPr/>
          <w:p>
            <w:pPr>
              <w:pStyle w:val="Compact"/>
            </w:pPr>
            <w:r>
              <w:t xml:space="preserve">$1.78B</w:t>
            </w:r>
          </w:p>
        </w:tc>
        <w:tc>
          <w:tcPr/>
          <w:p>
            <w:pPr>
              <w:pStyle w:val="Compact"/>
            </w:pPr>
            <w:r>
              <w:t xml:space="preserve">$2.09–2.19B (mid $2.14B)</w:t>
            </w:r>
          </w:p>
        </w:tc>
        <w:tc>
          <w:tcPr/>
          <w:p>
            <w:pPr>
              <w:pStyle w:val="Compact"/>
            </w:pPr>
            <w:r>
              <w:t xml:space="preserve">~$2.13B</w:t>
            </w:r>
          </w:p>
        </w:tc>
        <w:tc>
          <w:tcPr/>
          <w:p>
            <w:pPr>
              <w:pStyle w:val="Compact"/>
            </w:pPr>
            <w:r>
              <w:rPr>
                <w:b/>
                <w:bCs/>
              </w:rPr>
              <w:t xml:space="preserve">+20%</w:t>
            </w:r>
          </w:p>
        </w:tc>
      </w:tr>
      <w:tr>
        <w:tc>
          <w:tcPr/>
          <w:p>
            <w:pPr>
              <w:pStyle w:val="Compact"/>
            </w:pPr>
            <w:r>
              <w:t xml:space="preserve">Non-GAAP op margin</w:t>
            </w:r>
          </w:p>
        </w:tc>
        <w:tc>
          <w:tcPr/>
          <w:p>
            <w:pPr>
              <w:pStyle w:val="Compact"/>
            </w:pPr>
            <w:r>
              <w:t xml:space="preserve">33.1%</w:t>
            </w:r>
          </w:p>
        </w:tc>
        <w:tc>
          <w:tcPr/>
          <w:p>
            <w:pPr>
              <w:pStyle w:val="Compact"/>
            </w:pPr>
            <w:r>
              <w:t xml:space="preserve">33.0–35.0%</w:t>
            </w:r>
          </w:p>
        </w:tc>
        <w:tc>
          <w:tcPr/>
          <w:p>
            <w:pPr>
              <w:pStyle w:val="Compact"/>
            </w:pPr>
            <w:r>
              <w:t xml:space="preserve">~34%</w:t>
            </w:r>
          </w:p>
        </w:tc>
        <w:tc>
          <w:tcPr/>
          <w:p>
            <w:pPr>
              <w:pStyle w:val="Compact"/>
            </w:pPr>
            <w:r>
              <w:t xml:space="preserve">roughly flat/up</w:t>
            </w:r>
          </w:p>
        </w:tc>
      </w:tr>
      <w:tr>
        <w:tc>
          <w:tcPr/>
          <w:p>
            <w:pPr>
              <w:pStyle w:val="Compact"/>
            </w:pPr>
            <w:r>
              <w:t xml:space="preserve">Non-GAAP EPS</w:t>
            </w:r>
          </w:p>
        </w:tc>
        <w:tc>
          <w:tcPr/>
          <w:p>
            <w:pPr>
              <w:pStyle w:val="Compact"/>
            </w:pPr>
            <w:r>
              <w:t xml:space="preserve">$0.64</w:t>
            </w:r>
          </w:p>
        </w:tc>
        <w:tc>
          <w:tcPr/>
          <w:p>
            <w:pPr>
              <w:pStyle w:val="Compact"/>
            </w:pPr>
            <w:r>
              <w:t xml:space="preserve">$0.72–0.76</w:t>
            </w:r>
          </w:p>
        </w:tc>
        <w:tc>
          <w:tcPr/>
          <w:p>
            <w:pPr>
              <w:pStyle w:val="Compact"/>
            </w:pPr>
            <w:r>
              <w:t xml:space="preserve">~$0.75</w:t>
            </w:r>
          </w:p>
        </w:tc>
        <w:tc>
          <w:tcPr/>
          <w:p>
            <w:pPr>
              <w:pStyle w:val="Compact"/>
            </w:pPr>
            <w:r>
              <w:rPr>
                <w:b/>
                <w:bCs/>
              </w:rPr>
              <w:t xml:space="preserve">+17%</w:t>
            </w:r>
          </w:p>
        </w:tc>
      </w:tr>
      <w:tr>
        <w:tc>
          <w:tcPr/>
          <w:p>
            <w:pPr>
              <w:pStyle w:val="Compact"/>
            </w:pPr>
            <w:r>
              <w:t xml:space="preserve">Non-GAAP gross margin</w:t>
            </w:r>
          </w:p>
        </w:tc>
        <w:tc>
          <w:tcPr/>
          <w:p>
            <w:pPr>
              <w:pStyle w:val="Compact"/>
            </w:pPr>
            <w:r>
              <w:t xml:space="preserve">~81%</w:t>
            </w:r>
          </w:p>
        </w:tc>
        <w:tc>
          <w:tcPr/>
          <w:p>
            <w:pPr>
              <w:pStyle w:val="Compact"/>
            </w:pPr>
            <w:r>
              <w:t xml:space="preserve">79.5–80.5%</w:t>
            </w:r>
          </w:p>
        </w:tc>
        <w:tc>
          <w:tcPr/>
          <w:p>
            <w:pPr>
              <w:pStyle w:val="Compact"/>
            </w:pPr>
            <w:r>
              <w:t xml:space="preserve">—</w:t>
            </w:r>
          </w:p>
        </w:tc>
        <w:tc>
          <w:tcPr/>
          <w:p>
            <w:pPr>
              <w:pStyle w:val="Compact"/>
            </w:pPr>
            <w:r>
              <w:t xml:space="preserve">slight mix drag</w:t>
            </w:r>
          </w:p>
        </w:tc>
      </w:tr>
    </w:tbl>
    <w:p>
      <w:pPr>
        <w:pStyle w:val="BodyText"/>
      </w:pPr>
      <w:r>
        <w:rPr>
          <w:b/>
          <w:bCs/>
        </w:rPr>
        <w:t xml:space="preserve">Key context:</w:t>
      </w:r>
      <w:r>
        <w:t xml:space="preserve"> </w:t>
      </w:r>
      <w:r>
        <w:t xml:space="preserve">the Q2 guide implies a</w:t>
      </w:r>
      <w:r>
        <w:t xml:space="preserve"> </w:t>
      </w:r>
      <w:r>
        <w:rPr>
          <w:b/>
          <w:bCs/>
        </w:rPr>
        <w:t xml:space="preserve">deceleration in billings growth from +31% in Q1 to ~+20%</w:t>
      </w:r>
      <w:r>
        <w:t xml:space="preserve">. This is consistent with Fortinet's habitually conservative guidance pattern, so the real debate is how much upside there is to that number. Given Q1's beat, the "whisper" is likely well above the ~$2.14B billings midpoint — one sell-side note flagged that even the Q2 guide "could be prudent to put it very mildly."</w:t>
      </w:r>
    </w:p>
    <w:p>
      <w:r>
        <w:pict>
          <v:rect style="width:0;height:1.5pt" o:hralign="center" o:hrstd="t" o:hr="t"/>
        </w:pict>
      </w:r>
    </w:p>
    <w:bookmarkEnd w:id="11"/>
    <w:bookmarkStart w:id="12" w:name="q1-recap--why-the-bar-is-where-it-is"/>
    <w:p>
      <w:pPr>
        <w:pStyle w:val="Heading2"/>
      </w:pPr>
      <w:r>
        <w:t xml:space="preserve">Q1 recap — why the bar is where it is</w:t>
      </w:r>
    </w:p>
    <w:p>
      <w:pPr>
        <w:pStyle w:val="FirstParagraph"/>
      </w:pPr>
      <w:r>
        <w:t xml:space="preserve">Q1 (reported May 6) was an unambiguous blowout that reset the story:</w:t>
      </w:r>
    </w:p>
    <w:p>
      <w:pPr>
        <w:pStyle w:val="Compact"/>
        <w:numPr>
          <w:ilvl w:val="0"/>
          <w:numId w:val="1001"/>
        </w:numPr>
      </w:pPr>
      <w:r>
        <w:rPr>
          <w:b/>
          <w:bCs/>
        </w:rPr>
        <w:t xml:space="preserve">Billings +31%</w:t>
      </w:r>
      <w:r>
        <w:t xml:space="preserve"> </w:t>
      </w:r>
      <w:r>
        <w:t xml:space="preserve">to $2.09B;</w:t>
      </w:r>
      <w:r>
        <w:t xml:space="preserve"> </w:t>
      </w:r>
      <w:r>
        <w:rPr>
          <w:b/>
          <w:bCs/>
        </w:rPr>
        <w:t xml:space="preserve">total revenue +20%</w:t>
      </w:r>
      <w:r>
        <w:t xml:space="preserve"> </w:t>
      </w:r>
      <w:r>
        <w:t xml:space="preserve">to $1.85B;</w:t>
      </w:r>
      <w:r>
        <w:t xml:space="preserve"> </w:t>
      </w:r>
      <w:r>
        <w:rPr>
          <w:b/>
          <w:bCs/>
        </w:rPr>
        <w:t xml:space="preserve">product revenue +41%</w:t>
      </w:r>
      <w:r>
        <w:t xml:space="preserve"> </w:t>
      </w:r>
      <w:r>
        <w:t xml:space="preserve">to $645M (the hardware reacceleration is the crux of the bull case)</w:t>
      </w:r>
    </w:p>
    <w:p>
      <w:pPr>
        <w:pStyle w:val="Compact"/>
        <w:numPr>
          <w:ilvl w:val="0"/>
          <w:numId w:val="1001"/>
        </w:numPr>
      </w:pPr>
      <w:r>
        <w:rPr>
          <w:b/>
          <w:bCs/>
        </w:rPr>
        <w:t xml:space="preserve">Non-GAAP operating margin 35.8%</w:t>
      </w:r>
      <w:r>
        <w:t xml:space="preserve"> </w:t>
      </w:r>
      <w:r>
        <w:t xml:space="preserve">(a Q1 record); GAAP op margin 31.4%</w:t>
      </w:r>
    </w:p>
    <w:p>
      <w:pPr>
        <w:pStyle w:val="Compact"/>
        <w:numPr>
          <w:ilvl w:val="0"/>
          <w:numId w:val="1001"/>
        </w:numPr>
      </w:pPr>
      <w:r>
        <w:rPr>
          <w:b/>
          <w:bCs/>
        </w:rPr>
        <w:t xml:space="preserve">Non-GAAP EPS</w:t>
      </w:r>
      <w:r>
        <w:rPr>
          <w:b/>
          <w:bCs/>
        </w:rPr>
        <w:t xml:space="preserve"> </w:t>
      </w:r>
      <m:oMath>
        <m:r>
          <m:t>0.82</m:t>
        </m:r>
        <m:r>
          <m:rPr>
            <m:sty m:val="p"/>
          </m:rPr>
          <m:t>*</m:t>
        </m:r>
        <m:r>
          <m:rPr>
            <m:sty m:val="p"/>
          </m:rPr>
          <m:t>*</m:t>
        </m:r>
        <m:r>
          <m:rPr>
            <m:sty m:val="p"/>
          </m:rPr>
          <m:t>(</m:t>
        </m:r>
        <m:r>
          <m:rPr>
            <m:sty m:val="p"/>
          </m:rPr>
          <m:t>+</m:t>
        </m:r>
        <m:r>
          <m:t>41</m:t>
        </m:r>
      </m:oMath>
      <w:r>
        <w:rPr>
          <w:b/>
          <w:bCs/>
        </w:rPr>
        <w:t xml:space="preserve">1.0B</w:t>
      </w:r>
      <w:r>
        <w:t xml:space="preserve"> </w:t>
      </w:r>
      <w:r>
        <w:t xml:space="preserve">(58% FCF margin)</w:t>
      </w:r>
    </w:p>
    <w:p>
      <w:pPr>
        <w:pStyle w:val="Compact"/>
        <w:numPr>
          <w:ilvl w:val="0"/>
          <w:numId w:val="1001"/>
        </w:numPr>
      </w:pPr>
      <w:r>
        <w:rPr>
          <w:b/>
          <w:bCs/>
        </w:rPr>
        <w:t xml:space="preserve">OT security billings +70%</w:t>
      </w:r>
      <w:r>
        <w:t xml:space="preserve">; Unified SASE billings +31%; SecOps billings +23%</w:t>
      </w:r>
    </w:p>
    <w:p>
      <w:pPr>
        <w:pStyle w:val="Compact"/>
        <w:numPr>
          <w:ilvl w:val="0"/>
          <w:numId w:val="1001"/>
        </w:numPr>
      </w:pPr>
      <w:r>
        <w:t xml:space="preserve">Management</w:t>
      </w:r>
      <w:r>
        <w:t xml:space="preserve"> </w:t>
      </w:r>
      <w:r>
        <w:rPr>
          <w:b/>
          <w:bCs/>
        </w:rPr>
        <w:t xml:space="preserve">raised the full-year billings, revenue and service-revenue guidance</w:t>
      </w:r>
      <w:r>
        <w:t xml:space="preserve"> </w:t>
      </w:r>
      <w:r>
        <w:t xml:space="preserve">and pointed to services growth accelerating in H2 (service billings +27%, deferred revenue +15% cited as leading indicators)</w:t>
      </w:r>
    </w:p>
    <w:p>
      <w:pPr>
        <w:pStyle w:val="FirstParagraph"/>
      </w:pPr>
      <w:r>
        <w:t xml:space="preserve">The product-revenue reacceleration is what changed the multiple. FTNT is framing this as a repeat of the 2020–21 supply-chain/COVID cycle, when it gained share — but explicitly argues this time is "different" because the demand is threat- and AI-driven rather than a one-time remote-work build-out, and management says it is</w:t>
      </w:r>
      <w:r>
        <w:t xml:space="preserve"> </w:t>
      </w:r>
      <w:r>
        <w:rPr>
          <w:b/>
          <w:bCs/>
        </w:rPr>
        <w:t xml:space="preserve">not</w:t>
      </w:r>
      <w:r>
        <w:t xml:space="preserve"> </w:t>
      </w:r>
      <w:r>
        <w:t xml:space="preserve">seeing meaningful pull-forward this cycle.</w:t>
      </w:r>
    </w:p>
    <w:p>
      <w:r>
        <w:pict>
          <v:rect style="width:0;height:1.5pt" o:hralign="center" o:hrstd="t" o:hr="t"/>
        </w:pict>
      </w:r>
    </w:p>
    <w:bookmarkEnd w:id="12"/>
    <w:bookmarkStart w:id="13" w:name="what-id-focus-on-wednesday"/>
    <w:p>
      <w:pPr>
        <w:pStyle w:val="Heading2"/>
      </w:pPr>
      <w:r>
        <w:t xml:space="preserve">What I'd focus on Wednesday</w:t>
      </w:r>
    </w:p>
    <w:p>
      <w:pPr>
        <w:pStyle w:val="FirstParagraph"/>
      </w:pPr>
      <w:r>
        <w:rPr>
          <w:b/>
          <w:bCs/>
        </w:rPr>
        <w:t xml:space="preserve">1. Billings — the number that matters most.</w:t>
      </w:r>
      <w:r>
        <w:t xml:space="preserve"> </w:t>
      </w:r>
      <w:r>
        <w:t xml:space="preserve">With the Q2 guide at ~+20%, watch whether Fortinet sustains something closer to the ~30% Q1 pace or shows the deceleration the guide implies. A billings print in the high-teens/low-20s that merely "meets" could disappoint given the run in the stock.</w:t>
      </w:r>
    </w:p>
    <w:p>
      <w:pPr>
        <w:pStyle w:val="BodyText"/>
      </w:pPr>
      <w:r>
        <w:rPr>
          <w:b/>
          <w:bCs/>
        </w:rPr>
        <w:t xml:space="preserve">2. Product revenue growth &amp; durability.</w:t>
      </w:r>
      <w:r>
        <w:t xml:space="preserve"> </w:t>
      </w:r>
      <w:r>
        <w:t xml:space="preserve">Product grew +41% in Q1. The whole "hardware refresh + AI data center" thesis lives or dies here. Any sign of momentum fading (or an "air pocket" like 2022–23) would hit the multiple hard. Watch the FortiGate high-end (3500G/400G) commentary and AI data-center deal color.</w:t>
      </w:r>
    </w:p>
    <w:p>
      <w:pPr>
        <w:pStyle w:val="BodyText"/>
      </w:pPr>
      <w:r>
        <w:rPr>
          <w:b/>
          <w:bCs/>
        </w:rPr>
        <w:t xml:space="preserve">3. The full-year raise.</w:t>
      </w:r>
      <w:r>
        <w:t xml:space="preserve"> </w:t>
      </w:r>
      <w:r>
        <w:t xml:space="preserve">After raising in Q1 (FY26: revenue $7.71–7.87B, billings $8.8–9.1B, EPS $3.10–3.16), another raise is largely expected.</w:t>
      </w:r>
      <w:r>
        <w:t xml:space="preserve"> </w:t>
      </w:r>
      <w:r>
        <w:rPr>
          <w:b/>
          <w:bCs/>
        </w:rPr>
        <w:t xml:space="preserve">The magnitude of the raise, not the raise itself, is the swing factor.</w:t>
      </w:r>
      <w:r>
        <w:t xml:space="preserve"> </w:t>
      </w:r>
      <w:r>
        <w:t xml:space="preserve">A modest/in-line raise could be read as management staying conservative on the second half.</w:t>
      </w:r>
    </w:p>
    <w:p>
      <w:pPr>
        <w:pStyle w:val="BodyText"/>
      </w:pPr>
      <w:r>
        <w:rPr>
          <w:b/>
          <w:bCs/>
        </w:rPr>
        <w:t xml:space="preserve">4. Gross margin &amp; memory/DRAM cost pressure.</w:t>
      </w:r>
      <w:r>
        <w:t xml:space="preserve"> </w:t>
      </w:r>
      <w:r>
        <w:t xml:space="preserve">Non-GAAP gross margin guided down to 79.5–80.5% on product mix. Management said it bakes in only a low-single-digit product price impact and follows a "maintain margin, not expand it" pricing policy that raises prices as component (memory) costs rise and cuts them when costs fall. Watch DRAM commentary and whether pricing actions are helping or hurting.</w:t>
      </w:r>
    </w:p>
    <w:p>
      <w:pPr>
        <w:pStyle w:val="BodyText"/>
      </w:pPr>
      <w:r>
        <w:rPr>
          <w:b/>
          <w:bCs/>
        </w:rPr>
        <w:t xml:space="preserve">5. Services acceleration.</w:t>
      </w:r>
      <w:r>
        <w:t xml:space="preserve"> </w:t>
      </w:r>
      <w:r>
        <w:t xml:space="preserve">Management promised services revenue growth would pick up in H2, supported by rising service billings, deferred revenue and SecOps ARR. Evidence of that conversion beginning would de-risk the 2027 setup.</w:t>
      </w:r>
    </w:p>
    <w:p>
      <w:pPr>
        <w:pStyle w:val="BodyText"/>
      </w:pPr>
      <w:r>
        <w:rPr>
          <w:b/>
          <w:bCs/>
        </w:rPr>
        <w:t xml:space="preserve">6. AI data-center / Sovereign SASE proof points.</w:t>
      </w:r>
      <w:r>
        <w:t xml:space="preserve"> </w:t>
      </w:r>
      <w:r>
        <w:t xml:space="preserve">Q1 featured several 7-figure AI-infrastructure and Sovereign SASE wins. Investors will want to see this pipeline converting into recurring revenue rather than one-off hardware deals.</w:t>
      </w:r>
    </w:p>
    <w:p>
      <w:r>
        <w:pict>
          <v:rect style="width:0;height:1.5pt" o:hralign="center" o:hrstd="t" o:hr="t"/>
        </w:pict>
      </w:r>
    </w:p>
    <w:bookmarkEnd w:id="13"/>
    <w:bookmarkStart w:id="14" w:name="recent-catalyst-the-intel-foundry-deal"/>
    <w:p>
      <w:pPr>
        <w:pStyle w:val="Heading2"/>
      </w:pPr>
      <w:r>
        <w:t xml:space="preserve">Recent catalyst: the Intel Foundry deal</w:t>
      </w:r>
    </w:p>
    <w:p>
      <w:pPr>
        <w:pStyle w:val="FirstParagraph"/>
      </w:pPr>
      <w:r>
        <w:t xml:space="preserve">On July 21, Fortinet and Intel announced that FTNT's</w:t>
      </w:r>
      <w:r>
        <w:t xml:space="preserve"> </w:t>
      </w:r>
      <w:r>
        <w:rPr>
          <w:b/>
          <w:bCs/>
        </w:rPr>
        <w:t xml:space="preserve">next-generation SP6 security ASIC will be manufactured on the Intel 4 process</w:t>
      </w:r>
      <w:r>
        <w:t xml:space="preserve">, making Fortinet the first announced corporate customer for Intel's foundry under CEO Lip-Bu Tan. This reinforces the central pillar of the bull case — Fortinet's in-house ASIC advantage — and signals continued investment in the custom-silicon roadmap management repeatedly emphasized on the Q1 call ("the only cybersecurity company that builds their own ASIC from day one"). It's a strategic positive but not a near-term financial driver; watch for any capex/roadmap commentary.</w:t>
      </w:r>
    </w:p>
    <w:p>
      <w:r>
        <w:pict>
          <v:rect style="width:0;height:1.5pt" o:hralign="center" o:hrstd="t" o:hr="t"/>
        </w:pict>
      </w:r>
    </w:p>
    <w:bookmarkEnd w:id="14"/>
    <w:bookmarkStart w:id="15" w:name="bull-vs-bear-into-the-print"/>
    <w:p>
      <w:pPr>
        <w:pStyle w:val="Heading2"/>
      </w:pPr>
      <w:r>
        <w:t xml:space="preserve">Bull vs. bear into the print</w:t>
      </w:r>
    </w:p>
    <w:p>
      <w:pPr>
        <w:pStyle w:val="FirstParagraph"/>
      </w:pPr>
      <w:r>
        <w:rPr>
          <w:b/>
          <w:bCs/>
        </w:rPr>
        <w:t xml:space="preserve">Bull case</w:t>
      </w:r>
    </w:p>
    <w:p>
      <w:pPr>
        <w:pStyle w:val="Compact"/>
        <w:numPr>
          <w:ilvl w:val="0"/>
          <w:numId w:val="1002"/>
        </w:numPr>
      </w:pPr>
      <w:r>
        <w:t xml:space="preserve">Serial guidance-beater; Q2 guide looks conservative after a +31% billings Q1</w:t>
      </w:r>
    </w:p>
    <w:p>
      <w:pPr>
        <w:pStyle w:val="Compact"/>
        <w:numPr>
          <w:ilvl w:val="0"/>
          <w:numId w:val="1002"/>
        </w:numPr>
      </w:pPr>
      <w:r>
        <w:t xml:space="preserve">Genuine hardware upgrade cycle + AI data-center/OT tailwinds (OT +70%)</w:t>
      </w:r>
    </w:p>
    <w:p>
      <w:pPr>
        <w:pStyle w:val="Compact"/>
        <w:numPr>
          <w:ilvl w:val="0"/>
          <w:numId w:val="1002"/>
        </w:numPr>
      </w:pPr>
      <w:r>
        <w:t xml:space="preserve">Best-in-class profitability (GAAP op margin among industry's highest) and ~58% FCF margins funding heavy buybacks (~</w:t>
      </w:r>
      <m:oMath>
        <m:r>
          <m:t>827</m:t>
        </m:r>
        <m:r>
          <m:t>M</m:t>
        </m:r>
        <m:r>
          <m:t>r</m:t>
        </m:r>
        <m:r>
          <m:t>e</m:t>
        </m:r>
        <m:r>
          <m:t>p</m:t>
        </m:r>
        <m:r>
          <m:t>u</m:t>
        </m:r>
        <m:r>
          <m:t>r</m:t>
        </m:r>
        <m:r>
          <m:t>c</m:t>
        </m:r>
        <m:r>
          <m:t>h</m:t>
        </m:r>
        <m:r>
          <m:t>a</m:t>
        </m:r>
        <m:r>
          <m:t>s</m:t>
        </m:r>
        <m:r>
          <m:t>e</m:t>
        </m:r>
        <m:r>
          <m:t>d</m:t>
        </m:r>
        <m:r>
          <m:t>i</m:t>
        </m:r>
        <m:r>
          <m:t>n</m:t>
        </m:r>
        <m:r>
          <m:t>Q</m:t>
        </m:r>
        <m:r>
          <m:t>1</m:t>
        </m:r>
        <m:r>
          <m:rPr>
            <m:sty m:val="p"/>
          </m:rPr>
          <m:t>;</m:t>
        </m:r>
        <m:r>
          <m:t> </m:t>
        </m:r>
      </m:oMath>
      <w:r>
        <w:t xml:space="preserve">766M remaining authorization)</w:t>
      </w:r>
    </w:p>
    <w:p>
      <w:pPr>
        <w:pStyle w:val="Compact"/>
        <w:numPr>
          <w:ilvl w:val="0"/>
          <w:numId w:val="1002"/>
        </w:numPr>
      </w:pPr>
      <w:r>
        <w:t xml:space="preserve">Differentiated single-OS platform + ASIC/TCO edge vs. point-solution peers</w:t>
      </w:r>
    </w:p>
    <w:p>
      <w:pPr>
        <w:pStyle w:val="FirstParagraph"/>
      </w:pPr>
      <w:r>
        <w:rPr>
          <w:b/>
          <w:bCs/>
        </w:rPr>
        <w:t xml:space="preserve">Bear / risk case</w:t>
      </w:r>
    </w:p>
    <w:p>
      <w:pPr>
        <w:pStyle w:val="Compact"/>
        <w:numPr>
          <w:ilvl w:val="0"/>
          <w:numId w:val="1003"/>
        </w:numPr>
      </w:pPr>
      <w:r>
        <w:rPr>
          <w:b/>
          <w:bCs/>
        </w:rPr>
        <w:t xml:space="preserve">Valuation</w:t>
      </w:r>
      <w:r>
        <w:t xml:space="preserve"> </w:t>
      </w:r>
      <w:r>
        <w:t xml:space="preserve">(~48x forward EPS) leaves little room for anything short of a beat-and-raise; stock already up ~90%+ YTD</w:t>
      </w:r>
    </w:p>
    <w:p>
      <w:pPr>
        <w:pStyle w:val="Compact"/>
        <w:numPr>
          <w:ilvl w:val="0"/>
          <w:numId w:val="1003"/>
        </w:numPr>
      </w:pPr>
      <w:r>
        <w:t xml:space="preserve">Deceleration is embedded in the guide — the debate is whether growth is peaking</w:t>
      </w:r>
    </w:p>
    <w:p>
      <w:pPr>
        <w:pStyle w:val="Compact"/>
        <w:numPr>
          <w:ilvl w:val="0"/>
          <w:numId w:val="1003"/>
        </w:numPr>
      </w:pPr>
      <w:r>
        <w:t xml:space="preserve">"Air pocket" risk: hardware super-cycles historically digest (management concedes 2024/early-2025 was a "digestion" period); any hint of pull-forward would spook the tape</w:t>
      </w:r>
    </w:p>
    <w:p>
      <w:pPr>
        <w:pStyle w:val="Compact"/>
        <w:numPr>
          <w:ilvl w:val="0"/>
          <w:numId w:val="1003"/>
        </w:numPr>
      </w:pPr>
      <w:r>
        <w:t xml:space="preserve">Memory/DRAM cost inflation pressuring gross margin</w:t>
      </w:r>
    </w:p>
    <w:p>
      <w:pPr>
        <w:pStyle w:val="Compact"/>
        <w:numPr>
          <w:ilvl w:val="0"/>
          <w:numId w:val="1003"/>
        </w:numPr>
      </w:pPr>
      <w:r>
        <w:t xml:space="preserve">Service revenue growth (+11% in Q1) still lags product and needs to reaccelerate to justify the multiple</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This is a "beat-and-raise or bust" setup. FTNT has delivered exactly that for two straight quarters, and the fundamental backdrop — AI-driven demand, OT strength, hardware refresh, and platform consolidation — remains strong. But after a near-doubling of the stock, the market is no longer paying for in-line results. The most important tells will be the</w:t>
      </w:r>
      <w:r>
        <w:t xml:space="preserve"> </w:t>
      </w:r>
      <w:r>
        <w:rPr>
          <w:b/>
          <w:bCs/>
        </w:rPr>
        <w:t xml:space="preserve">magnitude of the billings beat, the durability signals on product revenue, and how aggressively management raises the full-year outlook.</w:t>
      </w:r>
      <w:r>
        <w:t xml:space="preserve"> </w:t>
      </w:r>
      <w:r>
        <w:t xml:space="preserve">A pre-print pullback of ~10% from the highs has trimmed some froth, but the risk/reward is asymmetric: a strong beat likely needs to be paired with a confident full-year raise to move the stock higher, while any whiff of decelerating hardware demand could trigger an outsized correction.</w:t>
      </w:r>
    </w:p>
    <w:p>
      <w:pPr>
        <w:pStyle w:val="BodyText"/>
      </w:pPr>
      <w:r>
        <w:rPr>
          <w:i/>
          <w:iCs/>
        </w:rPr>
        <w:t xml:space="preserve">Note: Prior-quarter and year-ago figures above are drawn from Fortinet's Q1 2026 and Q2 2025 earnings releases and the Q1 2026 call; consensus/expectation figures are from the aggregated news digest and may differ from other consensus sources. This is research/analysis, not investment advice.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2026-07-29T01:22:40Z</dcterms:created>
  <dcterms:modified xsi:type="dcterms:W3CDTF">2026-07-29T01:22:40Z</dcterms:modified>
</cp:coreProperties>
</file>

<file path=docProps/custom.xml><?xml version="1.0" encoding="utf-8"?>
<Properties xmlns="http://schemas.openxmlformats.org/officeDocument/2006/custom-properties" xmlns:vt="http://schemas.openxmlformats.org/officeDocument/2006/docPropsVTypes"/>
</file>