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Fortinet (FTNT) before writing the preview — pulling recent earnings materials, guidance, filings, news, and stock price trends.# Fortinet (FTNT) Q2 2026 Earnings Preview</w:t>
      </w:r>
      <w:r>
        <w:t xml:space="preserve"> </w:t>
      </w:r>
      <w:r>
        <w:rPr>
          <w:b/>
          <w:bCs/>
        </w:rPr>
        <w:t xml:space="preserve">Report Date:</w:t>
      </w:r>
      <w:r>
        <w:t xml:space="preserve"> </w:t>
      </w:r>
      <w:r>
        <w:t xml:space="preserve">Wednesday, July 29, 2026, after market close |</w:t>
      </w:r>
      <w:r>
        <w:t xml:space="preserve"> </w:t>
      </w:r>
      <w:r>
        <w:rPr>
          <w:b/>
          <w:bCs/>
        </w:rPr>
        <w:t xml:space="preserve">Call:</w:t>
      </w:r>
      <w:r>
        <w:t xml:space="preserve"> </w:t>
      </w:r>
      <w:r>
        <w:t xml:space="preserve">4:30 p.m. ET</w:t>
      </w:r>
    </w:p>
    <w:bookmarkStart w:id="9" w:name="setup-into-the-print"/>
    <w:p>
      <w:pPr>
        <w:pStyle w:val="Heading2"/>
      </w:pPr>
      <w:r>
        <w:t xml:space="preserve">Setup Into the Print</w:t>
      </w:r>
    </w:p>
    <w:p>
      <w:pPr>
        <w:pStyle w:val="FirstParagraph"/>
      </w:pPr>
      <w:r>
        <w:t xml:space="preserve">Fortinet arrives at this print in the middle of one of the most dramatic re-ratings in its history. The stock bottomed near $70-75 last August, then went parabolic after a blowout Q1 2026 report on May 6 — jumping roughly 20% the next session and continuing to climb toward an all-time high near</w:t>
      </w:r>
      <w:r>
        <w:t xml:space="preserve"> </w:t>
      </w:r>
      <m:oMath>
        <m:r>
          <m:t>170</m:t>
        </m:r>
        <m:r>
          <m:t>i</m:t>
        </m:r>
        <m:r>
          <m:t>n</m:t>
        </m:r>
        <m:r>
          <m:t>m</m:t>
        </m:r>
        <m:r>
          <m:t>i</m:t>
        </m:r>
        <m:r>
          <m:t>d</m:t>
        </m:r>
        <m:r>
          <m:rPr>
            <m:sty m:val="p"/>
          </m:rPr>
          <m:t>−</m:t>
        </m:r>
        <m:r>
          <m:t>J</m:t>
        </m:r>
        <m:r>
          <m:t>u</m:t>
        </m:r>
        <m:r>
          <m:t>l</m:t>
        </m:r>
        <m:r>
          <m:t>y</m:t>
        </m:r>
        <m:r>
          <m:t>b</m:t>
        </m:r>
        <m:r>
          <m:t>e</m:t>
        </m:r>
        <m:r>
          <m:t>f</m:t>
        </m:r>
        <m:r>
          <m:t>o</m:t>
        </m:r>
        <m:r>
          <m:t>r</m:t>
        </m:r>
        <m:r>
          <m:t>e</m:t>
        </m:r>
        <m:r>
          <m:t>p</m:t>
        </m:r>
        <m:r>
          <m:t>u</m:t>
        </m:r>
        <m:r>
          <m:t>l</m:t>
        </m:r>
        <m:r>
          <m:t>l</m:t>
        </m:r>
        <m:r>
          <m:t>i</m:t>
        </m:r>
        <m:r>
          <m:t>n</m:t>
        </m:r>
        <m:r>
          <m:t>g</m:t>
        </m:r>
        <m:r>
          <m:t>b</m:t>
        </m:r>
        <m:r>
          <m:t>a</m:t>
        </m:r>
        <m:r>
          <m:t>c</m:t>
        </m:r>
        <m:r>
          <m:t>k</m:t>
        </m:r>
        <m:r>
          <m:t>w</m:t>
        </m:r>
        <m:r>
          <m:t>i</m:t>
        </m:r>
        <m:r>
          <m:t>t</m:t>
        </m:r>
        <m:r>
          <m:t>h</m:t>
        </m:r>
        <m:r>
          <m:t>t</m:t>
        </m:r>
        <m:r>
          <m:t>h</m:t>
        </m:r>
        <m:r>
          <m:t>e</m:t>
        </m:r>
        <m:r>
          <m:t>b</m:t>
        </m:r>
        <m:r>
          <m:t>r</m:t>
        </m:r>
        <m:r>
          <m:t>o</m:t>
        </m:r>
        <m:r>
          <m:t>a</m:t>
        </m:r>
        <m:r>
          <m:t>d</m:t>
        </m:r>
        <m:r>
          <m:t>e</m:t>
        </m:r>
        <m:r>
          <m:t>r</m:t>
        </m:r>
        <m:r>
          <m:t>A</m:t>
        </m:r>
        <m:r>
          <m:t>I</m:t>
        </m:r>
        <m:r>
          <m:rPr>
            <m:sty m:val="p"/>
          </m:rPr>
          <m:t>−</m:t>
        </m:r>
        <m:r>
          <m:t>t</m:t>
        </m:r>
        <m:r>
          <m:t>r</m:t>
        </m:r>
        <m:r>
          <m:t>a</m:t>
        </m:r>
        <m:r>
          <m:t>d</m:t>
        </m:r>
        <m:r>
          <m:t>e</m:t>
        </m:r>
        <m:r>
          <m:t>t</m:t>
        </m:r>
        <m:r>
          <m:t>o</m:t>
        </m:r>
        <m:r>
          <m:t>t</m:t>
        </m:r>
        <m:r>
          <m:t>h</m:t>
        </m:r>
        <m:r>
          <m:t>e</m:t>
        </m:r>
        <m:r>
          <m:t> </m:t>
        </m:r>
      </m:oMath>
      <w:r>
        <w:t xml:space="preserve">150-152 range heading into tonight's report. That means shares are up well over 100% off their lows and roughly 85%+ year-to-date, putting enormous pressure on this quarter to deliver another beat-and-raise.</w:t>
      </w:r>
    </w:p>
    <w:p>
      <w:pPr>
        <w:pStyle w:val="BodyText"/>
      </w:pPr>
      <w:r>
        <w:t xml:space="preserve">Sentiment has been described as very bullish heading in, with investors framing cybersecurity spend as a direct beneficiary of enterprises racing to protect systems from AI-driven threats and AI infrastructure buildouts. Street expectations for Q2 included total revenue growth of +15.5% to $1.88B, billings growth of +20.2% to $2.13B, operating margins of 34%, and EPS of 75 cents.</w:t>
      </w:r>
    </w:p>
    <w:bookmarkEnd w:id="9"/>
    <w:bookmarkStart w:id="10" w:name="what-fortinet-itself-guided-to"/>
    <w:p>
      <w:pPr>
        <w:pStyle w:val="Heading2"/>
      </w:pPr>
      <w:r>
        <w:t xml:space="preserve">What Fortinet Itself Guided To</w:t>
      </w:r>
    </w:p>
    <w:p>
      <w:pPr>
        <w:pStyle w:val="FirstParagraph"/>
      </w:pPr>
      <w:r>
        <w:t xml:space="preserve">Coming out of Q1, management's own Q2 guidance called for revenue of $1.830-1.930 billion, billings of $2.090-2.190 billion, non-GAAP gross margin of 79.5%-80.5%, non-GAAP operating margin of 33.0%-35.0%, and non-GAAP diluted EPS of</w:t>
      </w:r>
      <w:r>
        <w:t xml:space="preserve"> </w:t>
      </w:r>
      <m:oMath>
        <m:r>
          <m:t>0.72</m:t>
        </m:r>
        <m:r>
          <m:rPr>
            <m:sty m:val="p"/>
          </m:rPr>
          <m:t>−</m:t>
        </m:r>
      </m:oMath>
      <w:r>
        <w:t xml:space="preserve">0.76. For the full year, Fortinet guided to revenue of $7.710-7.870 billion, service revenue of $5.090-5.150 billion, billings of $8.800-9.100 billion, non-GAAP operating margin of 33.0%-36.0%, and non-GAAP EPS of</w:t>
      </w:r>
      <w:r>
        <w:t xml:space="preserve"> </w:t>
      </w:r>
      <m:oMath>
        <m:r>
          <m:t>3.10</m:t>
        </m:r>
        <m:r>
          <m:rPr>
            <m:sty m:val="p"/>
          </m:rPr>
          <m:t>−</m:t>
        </m:r>
      </m:oMath>
      <w:r>
        <w:t xml:space="preserve">3.16 — guidance that was already raised once this year after the strong Q1 beat.</w:t>
      </w:r>
    </w:p>
    <w:p>
      <w:pPr>
        <w:pStyle w:val="BodyText"/>
      </w:pPr>
      <w:r>
        <w:t xml:space="preserve">Wall Street consensus is tracking close to the high end/midpoint of that range: Fortinet is scheduled to report second-quarter 2026 results on July 29, after market close, and the Zacks Consensus Estimate for revenue is pegged at $1.88 billion, suggesting year-over-year growth of 15.44%, with a consensus EPS estimate of 75 cents, up 17.19% year over year. Notably, Fortinet's earnings surpassed the Zacks Consensus Estimate in each of the trailing four quarters, with the average surprise being 17.46%, and another outlet frames the streak even longer, noting Fortinet heads into Wednesday's Q2 earnings report with a record few cybersecurity companies can match: 24th consecutive quarter without an earnings miss.</w:t>
      </w:r>
    </w:p>
    <w:bookmarkEnd w:id="10"/>
    <w:bookmarkStart w:id="11" w:name="X2fdd3fafc41abbdc5d8c19ae440c3ab1b696620"/>
    <w:p>
      <w:pPr>
        <w:pStyle w:val="Heading2"/>
      </w:pPr>
      <w:r>
        <w:t xml:space="preserve">Q1 Recap: The Quarter That Reset the Narrative</w:t>
      </w:r>
    </w:p>
    <w:p>
      <w:pPr>
        <w:pStyle w:val="FirstParagraph"/>
      </w:pPr>
      <w:r>
        <w:t xml:space="preserve">Q1 2026 (reported May 6) was the catalyst for the re-rating. Fortinet delivered revenue of $1.85 billion (+20% y/y), product revenue of $645 million (+41% y/y), billings of $2.09 billion (+31% y/y), non-GAAP operating margin of 35.8%, non-GAAP EPS of $0.82 (vs. guidance implying roughly $0.61), and a record $1.01 billion in free cash flow. Management attributed the strength to broad-based demand, calling out secure networking billings growth of 32% and OT (operational technology) security billings growth of over 70%, alongside Unified SASE billings growth of 31%. CEO Ken Xie tied the strength directly to AI: "Billings grew 31% year over year, driven by the continued convergence of networking and security... and by an increasingly complex threat environment that is being intensified by AI."</w:t>
      </w:r>
    </w:p>
    <w:p>
      <w:pPr>
        <w:pStyle w:val="BodyText"/>
      </w:pPr>
      <w:r>
        <w:t xml:space="preserve">On the Q1 call, management pushed back on air-pocket/pull-forward concerns reminiscent of the COVID-era cycle, with CFO Christiane Ohlgart arguing the current cycle is structurally different because "the threat landscape is accelerating significantly... the demand for our product is going to continue as the AI data centers are going to be built out as customers are deploying AI internally." Management also confirmed only a "low single-digit" impact from memory-driven price increases baked into product revenue, and reiterated a policy of passing through component cost changes (up or down) rather than using the memory shortage to permanently expand margins.</w:t>
      </w:r>
    </w:p>
    <w:bookmarkEnd w:id="11"/>
    <w:bookmarkStart w:id="12" w:name="key-themes-to-watch-tonight"/>
    <w:p>
      <w:pPr>
        <w:pStyle w:val="Heading2"/>
      </w:pPr>
      <w:r>
        <w:t xml:space="preserve">Key Themes to Watch Tonight</w:t>
      </w:r>
    </w:p>
    <w:p>
      <w:pPr>
        <w:pStyle w:val="Compact"/>
        <w:numPr>
          <w:ilvl w:val="0"/>
          <w:numId w:val="1001"/>
        </w:numPr>
      </w:pPr>
      <w:r>
        <w:rPr>
          <w:b/>
          <w:bCs/>
        </w:rPr>
        <w:t xml:space="preserve">Does secure networking/firewall growth hold up?</w:t>
      </w:r>
      <w:r>
        <w:t xml:space="preserve"> </w:t>
      </w:r>
      <w:r>
        <w:t xml:space="preserve">The 32% billings growth in Q1 was a standout, especially set against peer commentary of softer firewall trends. Watch whether FortiGate G-Series (3500G/400G) launches and AI-data-center-related deployments sustained momentum, or whether growth normalizes.</w:t>
      </w:r>
    </w:p>
    <w:p>
      <w:pPr>
        <w:pStyle w:val="Compact"/>
        <w:numPr>
          <w:ilvl w:val="0"/>
          <w:numId w:val="1001"/>
        </w:numPr>
      </w:pPr>
      <w:r>
        <w:rPr>
          <w:b/>
          <w:bCs/>
        </w:rPr>
        <w:t xml:space="preserve">Services re-acceleration.</w:t>
      </w:r>
      <w:r>
        <w:t xml:space="preserve"> </w:t>
      </w:r>
      <w:r>
        <w:t xml:space="preserve">Management guided for services revenue growth to pick up in the second half, calling accelerating product revenue, service billings, and deferred revenue "leading indicators." Q2 is the first test of that promised inflection.</w:t>
      </w:r>
    </w:p>
    <w:p>
      <w:pPr>
        <w:pStyle w:val="Compact"/>
        <w:numPr>
          <w:ilvl w:val="0"/>
          <w:numId w:val="1001"/>
        </w:numPr>
      </w:pPr>
      <w:r>
        <w:rPr>
          <w:b/>
          <w:bCs/>
        </w:rPr>
        <w:t xml:space="preserve">Margins amid component cost inflation.</w:t>
      </w:r>
      <w:r>
        <w:t xml:space="preserve"> </w:t>
      </w:r>
      <w:r>
        <w:t xml:space="preserve">Gross margin guidance of 79.5%-80.5% assumes continued pass-through pricing on memory costs; any commentary on further price actions (or unwinding them) matters for the margin trajectory.</w:t>
      </w:r>
    </w:p>
    <w:p>
      <w:pPr>
        <w:pStyle w:val="Compact"/>
        <w:numPr>
          <w:ilvl w:val="0"/>
          <w:numId w:val="1001"/>
        </w:numPr>
      </w:pPr>
      <w:r>
        <w:rPr>
          <w:b/>
          <w:bCs/>
        </w:rPr>
        <w:t xml:space="preserve">Capital return.</w:t>
      </w:r>
      <w:r>
        <w:t xml:space="preserve"> </w:t>
      </w:r>
      <w:r>
        <w:t xml:space="preserve">Fortinet repurchased 10.6 million shares for $827 million in Q1 alone, with sizable remaining authorization — a lever management has leaned on amid a richly valued stock.</w:t>
      </w:r>
    </w:p>
    <w:p>
      <w:pPr>
        <w:pStyle w:val="Compact"/>
        <w:numPr>
          <w:ilvl w:val="0"/>
          <w:numId w:val="1001"/>
        </w:numPr>
      </w:pPr>
      <w:r>
        <w:rPr>
          <w:b/>
          <w:bCs/>
        </w:rPr>
        <w:t xml:space="preserve">AI infrastructure security narrative.</w:t>
      </w:r>
      <w:r>
        <w:t xml:space="preserve"> </w:t>
      </w:r>
      <w:r>
        <w:t xml:space="preserve">Fortinet highlighted seven-figure wins securing AI/GPU data centers (including a Middle East hyperscaler deal) and deepened work with Anthropic, OpenAI and Nvidia. The just-announced Intel foundry partnership adds a new data point: Fortinet will use Intel's foundry services to produce its next-generation security chip, the SP6, manufactured on the Intel 4 process, making Fortinet the first announced corporate customer for Intel's foundry under CEO Lip-Bu Tan, reinforcing the long-standing ASIC differentiation story management leans on heavily.</w:t>
      </w:r>
    </w:p>
    <w:bookmarkEnd w:id="12"/>
    <w:bookmarkStart w:id="13" w:name="valuation-and-sentiment--the-bar-is-high"/>
    <w:p>
      <w:pPr>
        <w:pStyle w:val="Heading2"/>
      </w:pPr>
      <w:r>
        <w:t xml:space="preserve">Valuation and Sentiment — The Bar Is High</w:t>
      </w:r>
    </w:p>
    <w:p>
      <w:pPr>
        <w:pStyle w:val="FirstParagraph"/>
      </w:pPr>
      <w:r>
        <w:t xml:space="preserve">This is arguably the biggest swing factor for the stock reaction, independent of the actual numbers. Fortinet now trades at a rich multiple after its run: one analysis put the current forward PE ratio of 52.91... in the Fair zone compared with the five-year average of 42.43. Wall Street ratings remain surprisingly mixed despite the rally — out of 43 analysts covering the stock, 10 advise a "Strong Buy" rating, 29 give a "Hold," one advocates a "Moderate Sell," and three recommend a "Strong Sell," and consensus price targets sit well below the current share price, with FTNT currently trading above its mean price target of $117.69 and another data provider showing an average price target of $112.49, roughly 23% below the current stock price. That disconnect — a "Hold"-rated stock trading far above average targets — suggests the Street has been playing catch-up to price action rather than driving it, and it raises the risk that even a solid quarter gets a muted or negative reaction if it merely meets rather than crushes expectations.</w:t>
      </w:r>
    </w:p>
    <w:p>
      <w:pPr>
        <w:pStyle w:val="BodyText"/>
      </w:pPr>
      <w:r>
        <w:t xml:space="preserve">That said, some analysts have moved decisively: Barclays raised its price target on Fortinet to $155 from $115, keeping an Equal Weight rating, after meeting with management and concluding Fortinet's Q1 strength was broad-based, with channel inventory being actively managed and a "prudent" second-half outlook.</w:t>
      </w:r>
    </w:p>
    <w:bookmarkEnd w:id="13"/>
    <w:bookmarkStart w:id="14" w:name="competitive-and-macro-backdrop"/>
    <w:p>
      <w:pPr>
        <w:pStyle w:val="Heading2"/>
      </w:pPr>
      <w:r>
        <w:t xml:space="preserve">Competitive and Macro Backdrop</w:t>
      </w:r>
    </w:p>
    <w:p>
      <w:pPr>
        <w:pStyle w:val="FirstParagraph"/>
      </w:pPr>
      <w:r>
        <w:t xml:space="preserve">Cybersecurity peers have offered a generally constructive read-through this earnings season. William Blair named Palo Alto Networks its top pick in cybersecurity on concern that AI hacking is a real threat, noting customers are rushing to purchase firewalls ahead of expected price increases and supply-chain challenges, with the firm believing Palo Alto continues to take share — a dynamic that could apply to Fortinet as well, and also raises the same pull-forward question Fortinet's own management was asked about in May. CrowdStrike shares have also been volatile on cybersecurity-demand headlines, with a stock jump tied to commentary in IBM's shareholder letter that clients were "distracted with rapidly-evolving, industry-wide cybersecurity concerns" — supportive, if indirect, evidence of robust end-market demand.</w:t>
      </w:r>
    </w:p>
    <w:p>
      <w:pPr>
        <w:pStyle w:val="BodyText"/>
      </w:pPr>
      <w:r>
        <w:t xml:space="preserve">The macro backdrop is more mixed than it was in May. In the days immediately preceding this print, Asian tech stocks tumbled as the "buy the dip" mentality faded, with traders eager to sell AI-related semiconductor stocks amid concerns about frothy valuations and excessive spending, and memory/AI-infrastructure names like SK Hynix and ASML have sold off sharply on competitive and valuation worries. Since Fortinet's bull case is now heavily levered to the "AI is expanding the security attack surface and data-center buildout" narrative, any wobble in AI-capex sentiment is a read-through risk, even though Fortinet itself is a beneficiary of security spend rather than a capex-cyclical name.</w:t>
      </w:r>
    </w:p>
    <w:bookmarkEnd w:id="14"/>
    <w:bookmarkStart w:id="15" w:name="bear-case--risks-to-watch"/>
    <w:p>
      <w:pPr>
        <w:pStyle w:val="Heading2"/>
      </w:pPr>
      <w:r>
        <w:t xml:space="preserve">Bear Case / Risks to Watch</w:t>
      </w:r>
    </w:p>
    <w:p>
      <w:pPr>
        <w:pStyle w:val="Compact"/>
        <w:numPr>
          <w:ilvl w:val="0"/>
          <w:numId w:val="1002"/>
        </w:numPr>
      </w:pPr>
      <w:r>
        <w:rPr>
          <w:b/>
          <w:bCs/>
        </w:rPr>
        <w:t xml:space="preserve">Valuation exhaustion:</w:t>
      </w:r>
      <w:r>
        <w:t xml:space="preserve"> </w:t>
      </w:r>
      <w:r>
        <w:t xml:space="preserve">After more than doubling off the August 2025 low, the stock needs a genuinely exceptional beat-and-raise to justify further upside; a merely in-line quarter could trigger profit-taking given the stretched forward multiple.</w:t>
      </w:r>
    </w:p>
    <w:p>
      <w:pPr>
        <w:pStyle w:val="Compact"/>
        <w:numPr>
          <w:ilvl w:val="0"/>
          <w:numId w:val="1002"/>
        </w:numPr>
      </w:pPr>
      <w:r>
        <w:rPr>
          <w:b/>
          <w:bCs/>
        </w:rPr>
        <w:t xml:space="preserve">Pull-forward/digestion risk:</w:t>
      </w:r>
      <w:r>
        <w:t xml:space="preserve"> </w:t>
      </w:r>
      <w:r>
        <w:t xml:space="preserve">Management has twice now had to address comparisons to the COVID-era ordering cycle that was followed by a 2024/early-2025 "digestion" period; a second consecutive quarter of extreme billings growth (~30%+) invites more scrutiny on sustainability.</w:t>
      </w:r>
    </w:p>
    <w:p>
      <w:pPr>
        <w:pStyle w:val="Compact"/>
        <w:numPr>
          <w:ilvl w:val="0"/>
          <w:numId w:val="1002"/>
        </w:numPr>
      </w:pPr>
      <w:r>
        <w:rPr>
          <w:b/>
          <w:bCs/>
        </w:rPr>
        <w:t xml:space="preserve">Component cost/tariff exposure:</w:t>
      </w:r>
      <w:r>
        <w:t xml:space="preserve"> </w:t>
      </w:r>
      <w:r>
        <w:t xml:space="preserve">Memory pricing and broader tariff/trade policy dynamics remain a variable in gross margin guidance, given Fortinet's direct hardware manufacturing model.</w:t>
      </w:r>
    </w:p>
    <w:p>
      <w:pPr>
        <w:pStyle w:val="Compact"/>
        <w:numPr>
          <w:ilvl w:val="0"/>
          <w:numId w:val="1002"/>
        </w:numPr>
      </w:pPr>
      <w:r>
        <w:rPr>
          <w:b/>
          <w:bCs/>
        </w:rPr>
        <w:t xml:space="preserve">Competitive intensity:</w:t>
      </w:r>
      <w:r>
        <w:t xml:space="preserve"> </w:t>
      </w:r>
      <w:r>
        <w:t xml:space="preserve">Palo Alto Networks, CrowdStrike, Check Point and Zscaler are all seeing strong demand narratives of their own, and generalized AI-driven security spend is a rising tide that could also lift competitors, pressuring share-gain claims if not paired with disproportionate growth.</w:t>
      </w:r>
    </w:p>
    <w:bookmarkEnd w:id="15"/>
    <w:bookmarkStart w:id="16" w:name="bottom-line"/>
    <w:p>
      <w:pPr>
        <w:pStyle w:val="Heading2"/>
      </w:pPr>
      <w:r>
        <w:t xml:space="preserve">Bottom Line</w:t>
      </w:r>
    </w:p>
    <w:p>
      <w:pPr>
        <w:pStyle w:val="FirstParagraph"/>
      </w:pPr>
      <w:r>
        <w:t xml:space="preserve">Fortinet goes into Wednesday's print as a show-me story wrapped in an already-priced-for-perfection stock. The fundamental setup — accelerating product revenue, record billings growth, OT and AI-data-center wins, a fresh Intel foundry partnership for its next-gen ASIC, and management's own raised full-year guidance — remains among the strongest in enterprise security. But with shares up over 100% from last summer's lows, a 52x-ish forward earnings multiple, and consensus price targets still sitting below the current quote, the stock's reaction is likely to hinge less on whether Fortinet beats its own guidance (a near-given based on its 24-quarter beat streak) and more on the magnitude of the beat, the tone of any second-half guidance revision, and management's commentary on services re-acceleration and demand durability.</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2026-07-29T01:23:18Z</dcterms:created>
  <dcterms:modified xsi:type="dcterms:W3CDTF">2026-07-29T01:23:18Z</dcterms:modified>
</cp:coreProperties>
</file>

<file path=docProps/custom.xml><?xml version="1.0" encoding="utf-8"?>
<Properties xmlns="http://schemas.openxmlformats.org/officeDocument/2006/custom-properties" xmlns:vt="http://schemas.openxmlformats.org/officeDocument/2006/docPropsVTypes"/>
</file>