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tnt-earnings-predictions--2026-07-29"/>
    <w:p>
      <w:pPr>
        <w:pStyle w:val="Heading1"/>
      </w:pPr>
      <w:r>
        <w:t xml:space="preserve">FTNT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billings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~$2.22B vs. cons $2.13B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~$1.94B vs. cons $1.89B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~$0.79 vs. cons $0.75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~$7.94B vs. cons $7.81B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billings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~$9.15B vs. cons $9.05B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~$3.23 vs. cons $3.16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~$1.98B vs. cons $1.95B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+3.6% (STABILIZE)</w:t>
            </w:r>
          </w:p>
        </w:tc>
        <w:tc>
          <w:tcPr/>
          <w:p>
            <w:pPr>
              <w:pStyle w:val="Compact"/>
            </w:pPr>
            <w:r>
              <w:t xml:space="preserve">The Q2 beat and FY2026 raise should lift estimates, but implied H2 revenue of roughly $4.15B versus consensus near $4.07B provides only modest out-period upside; elevated valuation limits additional rerating after the initial move.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2026-07-29T01:24:13Z</dcterms:created>
  <dcterms:modified xsi:type="dcterms:W3CDTF">2026-07-29T01:24:13Z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