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fortinet-ftnt-q2-2026-earnings-preview"/>
    <w:p>
      <w:pPr>
        <w:pStyle w:val="Heading1"/>
      </w:pPr>
      <w:r>
        <w:t xml:space="preserve">Fortinet (FTNT) Q2 2026 Earnings Preview</w:t>
      </w:r>
    </w:p>
    <w:p>
      <w:pPr>
        <w:pStyle w:val="BlockText"/>
      </w:pPr>
      <w:r>
        <w:rPr>
          <w:b/>
          <w:bCs/>
        </w:rPr>
        <w:t xml:space="preserve">Timing note:</w:t>
      </w:r>
      <w:r>
        <w:t xml:space="preserve"> </w:t>
      </w:r>
      <w:r>
        <w:t xml:space="preserve">Fortinet’s investor-relations calendar lists the Q2 results and conference call for</w:t>
      </w:r>
      <w:r>
        <w:t xml:space="preserve"> </w:t>
      </w:r>
      <w:r>
        <w:rPr>
          <w:b/>
          <w:bCs/>
        </w:rPr>
        <w:t xml:space="preserve">Wednesday, July 29, 2026, at 4:30 p.m. ET / 1:30 p.m. PT</w:t>
      </w:r>
      <w:r>
        <w:t xml:space="preserve">—today, rather than tomorrow. (</w:t>
      </w:r>
      <w:hyperlink r:id="rId9">
        <w:r>
          <w:rPr>
            <w:rStyle w:val="Hyperlink"/>
          </w:rPr>
          <w:t xml:space="preserve">investor.fortinet.com</w:t>
        </w:r>
      </w:hyperlink>
      <w:r>
        <w:t xml:space="preserve">)</w:t>
      </w:r>
    </w:p>
    <w:bookmarkStart w:id="12" w:name="X9de0c4f05c03815e45517d2241ed40910e0f100"/>
    <w:p>
      <w:pPr>
        <w:pStyle w:val="Heading2"/>
      </w:pPr>
      <w:r>
        <w:t xml:space="preserve">Investment setup: excellent fundamentals, elevated expectations</w:t>
      </w:r>
    </w:p>
    <w:p>
      <w:pPr>
        <w:pStyle w:val="FirstParagraph"/>
      </w:pPr>
      <w:r>
        <w:t xml:space="preserve">Fortinet enters Q2 with considerable momentum after an exceptional first quarter:</w:t>
      </w:r>
    </w:p>
    <w:p>
      <w:pPr>
        <w:pStyle w:val="Compact"/>
        <w:numPr>
          <w:ilvl w:val="0"/>
          <w:numId w:val="1001"/>
        </w:numPr>
      </w:pPr>
      <w:r>
        <w:t xml:space="preserve">Revenue increased</w:t>
      </w:r>
      <w:r>
        <w:t xml:space="preserve"> </w:t>
      </w:r>
      <w:r>
        <w:rPr>
          <w:b/>
          <w:bCs/>
        </w:rPr>
        <w:t xml:space="preserve">20%</w:t>
      </w:r>
    </w:p>
    <w:p>
      <w:pPr>
        <w:pStyle w:val="Compact"/>
        <w:numPr>
          <w:ilvl w:val="0"/>
          <w:numId w:val="1001"/>
        </w:numPr>
      </w:pPr>
      <w:r>
        <w:t xml:space="preserve">Product revenue increased</w:t>
      </w:r>
      <w:r>
        <w:t xml:space="preserve"> </w:t>
      </w:r>
      <w:r>
        <w:rPr>
          <w:b/>
          <w:bCs/>
        </w:rPr>
        <w:t xml:space="preserve">41%</w:t>
      </w:r>
    </w:p>
    <w:p>
      <w:pPr>
        <w:pStyle w:val="Compact"/>
        <w:numPr>
          <w:ilvl w:val="0"/>
          <w:numId w:val="1001"/>
        </w:numPr>
      </w:pPr>
      <w:r>
        <w:t xml:space="preserve">Billings increased</w:t>
      </w:r>
      <w:r>
        <w:t xml:space="preserve"> </w:t>
      </w:r>
      <w:r>
        <w:rPr>
          <w:b/>
          <w:bCs/>
        </w:rPr>
        <w:t xml:space="preserve">31%</w:t>
      </w:r>
    </w:p>
    <w:p>
      <w:pPr>
        <w:pStyle w:val="Compact"/>
        <w:numPr>
          <w:ilvl w:val="0"/>
          <w:numId w:val="1001"/>
        </w:numPr>
      </w:pPr>
      <w:r>
        <w:t xml:space="preserve">Non-GAAP operating margin reached</w:t>
      </w:r>
      <w:r>
        <w:t xml:space="preserve"> </w:t>
      </w:r>
      <w:r>
        <w:rPr>
          <w:b/>
          <w:bCs/>
        </w:rPr>
        <w:t xml:space="preserve">35.8%</w:t>
      </w:r>
    </w:p>
    <w:p>
      <w:pPr>
        <w:pStyle w:val="Compact"/>
        <w:numPr>
          <w:ilvl w:val="0"/>
          <w:numId w:val="1001"/>
        </w:numPr>
      </w:pPr>
      <w:r>
        <w:t xml:space="preserve">Non-GAAP EPS increased</w:t>
      </w:r>
      <w:r>
        <w:t xml:space="preserve"> </w:t>
      </w:r>
      <w:r>
        <w:rPr>
          <w:b/>
          <w:bCs/>
        </w:rPr>
        <w:t xml:space="preserve">41% to $0.82</w:t>
      </w:r>
    </w:p>
    <w:p>
      <w:pPr>
        <w:pStyle w:val="Compact"/>
        <w:numPr>
          <w:ilvl w:val="0"/>
          <w:numId w:val="1001"/>
        </w:numPr>
      </w:pPr>
      <w:r>
        <w:t xml:space="preserve">Free cash flow exceeded</w:t>
      </w:r>
      <w:r>
        <w:t xml:space="preserve"> </w:t>
      </w:r>
      <w:r>
        <w:rPr>
          <w:b/>
          <w:bCs/>
        </w:rPr>
        <w:t xml:space="preserve">$1 billion</w:t>
      </w:r>
    </w:p>
    <w:p>
      <w:pPr>
        <w:pStyle w:val="FirstParagraph"/>
      </w:pPr>
      <w:r>
        <w:t xml:space="preserve">Management attributed the strength to broad-based demand, market-share gains, AI infrastructure spending, OT security, SASE adoption and strong supply-chain execution. It also raised its 2026 revenue, billings and EPS outlook. (</w:t>
      </w:r>
      <w:hyperlink r:id="rId10">
        <w:r>
          <w:rPr>
            <w:rStyle w:val="Hyperlink"/>
          </w:rPr>
          <w:t xml:space="preserve">investor.fortinet.com</w:t>
        </w:r>
      </w:hyperlink>
      <w:r>
        <w:t xml:space="preserve">)</w:t>
      </w:r>
    </w:p>
    <w:p>
      <w:pPr>
        <w:pStyle w:val="BodyText"/>
      </w:pPr>
      <w:r>
        <w:t xml:space="preserve">The difficulty is that much of this good news is now reflected in the stock. FTNT is trading around</w:t>
      </w:r>
      <w:r>
        <w:t xml:space="preserve"> </w:t>
      </w:r>
      <w:r>
        <w:rPr>
          <w:b/>
          <w:bCs/>
        </w:rPr>
        <w:t xml:space="preserve">$150</w:t>
      </w:r>
      <w:r>
        <w:t xml:space="preserve">, versus approximately $90 immediately before Q1 earnings; the stock rose about 20% the day after that report. At the current price, shares trade near</w:t>
      </w:r>
      <w:r>
        <w:t xml:space="preserve"> </w:t>
      </w:r>
      <w:r>
        <w:rPr>
          <w:b/>
          <w:bCs/>
        </w:rPr>
        <w:t xml:space="preserve">48 times</w:t>
      </w:r>
      <w:r>
        <w:t xml:space="preserve"> </w:t>
      </w:r>
      <w:r>
        <w:t xml:space="preserve">the midpoint of management’s 2026 non-GAAP EPS guidance. (</w:t>
      </w:r>
      <w:hyperlink r:id="rId11">
        <w:r>
          <w:rPr>
            <w:rStyle w:val="Hyperlink"/>
          </w:rPr>
          <w:t xml:space="preserve">marketbeat.com</w:t>
        </w:r>
      </w:hyperlink>
      <w:r>
        <w:t xml:space="preserve">)</w:t>
      </w:r>
    </w:p>
    <w:p>
      <w:pPr>
        <w:pStyle w:val="BodyText"/>
      </w:pPr>
      <w:r>
        <w:rPr>
          <w:b/>
          <w:bCs/>
        </w:rPr>
        <w:t xml:space="preserve">That makes this more than a beat-or-miss quarter. Investors will want evidence that Q1’s acceleration was sustainable—not a temporary product, pricing or supply-chain event.</w:t>
      </w:r>
    </w:p>
    <w:p>
      <w:r>
        <w:pict>
          <v:rect style="width:0;height:1.5pt" o:hralign="center" o:hrstd="t" o:hr="t"/>
        </w:pict>
      </w:r>
    </w:p>
    <w:bookmarkEnd w:id="12"/>
    <w:bookmarkStart w:id="14" w:name="q2-scorecard"/>
    <w:p>
      <w:pPr>
        <w:pStyle w:val="Heading2"/>
      </w:pPr>
      <w:r>
        <w:t xml:space="preserve">Q2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Fortinet guidance</w:t>
            </w:r>
          </w:p>
        </w:tc>
        <w:tc>
          <w:tcPr/>
          <w:p>
            <w:pPr>
              <w:pStyle w:val="Compact"/>
              <w:jc w:val="right"/>
            </w:pPr>
            <w:r>
              <w:t xml:space="preserve">Market expectation</w:t>
            </w:r>
          </w:p>
        </w:tc>
        <w:tc>
          <w:tcPr/>
          <w:p>
            <w:pPr>
              <w:pStyle w:val="Compact"/>
            </w:pPr>
            <w:r>
              <w:t xml:space="preserve">Investor interpretation</w:t>
            </w:r>
          </w:p>
        </w:tc>
      </w:tr>
      <w:tr>
        <w:tc>
          <w:tcPr/>
          <w:p>
            <w:pPr>
              <w:pStyle w:val="Compact"/>
            </w:pPr>
            <w:r>
              <w:t xml:space="preserve">Revenue</w:t>
            </w:r>
          </w:p>
        </w:tc>
        <w:tc>
          <w:tcPr/>
          <w:p>
            <w:pPr>
              <w:pStyle w:val="Compact"/>
              <w:jc w:val="right"/>
            </w:pPr>
            <m:oMath>
              <m:r>
                <m:t>1.83</m:t>
              </m:r>
              <m:r>
                <m:t>B</m:t>
              </m:r>
              <m:r>
                <m:rPr>
                  <m:sty m:val="p"/>
                </m:rPr>
                <m:t>–</m:t>
              </m:r>
            </m:oMath>
            <w:r>
              <w:t xml:space="preserve">1.93B</w:t>
            </w:r>
          </w:p>
        </w:tc>
        <w:tc>
          <w:tcPr/>
          <w:p>
            <w:pPr>
              <w:pStyle w:val="Compact"/>
              <w:jc w:val="right"/>
            </w:pPr>
            <w:r>
              <w:t xml:space="preserve">~</w:t>
            </w:r>
            <m:oMath>
              <m:r>
                <m:t>1.88</m:t>
              </m:r>
              <m:r>
                <m:t>B</m:t>
              </m:r>
              <m:r>
                <m:rPr>
                  <m:sty m:val="p"/>
                </m:rPr>
                <m:t>–</m:t>
              </m:r>
            </m:oMath>
            <w:r>
              <w:t xml:space="preserve">1.89B</w:t>
            </w:r>
          </w:p>
        </w:tc>
        <w:tc>
          <w:tcPr/>
          <w:p>
            <w:pPr>
              <w:pStyle w:val="Compact"/>
            </w:pPr>
            <w:r>
              <w:t xml:space="preserve">Roughly 15%–16% growth</w:t>
            </w:r>
          </w:p>
        </w:tc>
      </w:tr>
      <w:tr>
        <w:tc>
          <w:tcPr/>
          <w:p>
            <w:pPr>
              <w:pStyle w:val="Compact"/>
            </w:pPr>
            <w:r>
              <w:t xml:space="preserve">Billings</w:t>
            </w:r>
          </w:p>
        </w:tc>
        <w:tc>
          <w:tcPr/>
          <w:p>
            <w:pPr>
              <w:pStyle w:val="Compact"/>
              <w:jc w:val="right"/>
            </w:pPr>
            <m:oMath>
              <m:r>
                <m:t>2.09</m:t>
              </m:r>
              <m:r>
                <m:t>B</m:t>
              </m:r>
              <m:r>
                <m:rPr>
                  <m:sty m:val="p"/>
                </m:rPr>
                <m:t>–</m:t>
              </m:r>
            </m:oMath>
            <w:r>
              <w:t xml:space="preserve">2.19B</w:t>
            </w:r>
          </w:p>
        </w:tc>
        <w:tc>
          <w:tcPr/>
          <w:p>
            <w:pPr>
              <w:pStyle w:val="Compact"/>
              <w:jc w:val="right"/>
            </w:pPr>
            <w:r>
              <w:t xml:space="preserve">~$2.13B</w:t>
            </w:r>
          </w:p>
        </w:tc>
        <w:tc>
          <w:tcPr/>
          <w:p>
            <w:pPr>
              <w:pStyle w:val="Compact"/>
            </w:pPr>
            <w:r>
              <w:t xml:space="preserve">Approximately 20% growth</w:t>
            </w:r>
          </w:p>
        </w:tc>
      </w:tr>
      <w:tr>
        <w:tc>
          <w:tcPr/>
          <w:p>
            <w:pPr>
              <w:pStyle w:val="Compact"/>
            </w:pPr>
            <w:r>
              <w:t xml:space="preserve">Non-GAAP gross margin</w:t>
            </w:r>
          </w:p>
        </w:tc>
        <w:tc>
          <w:tcPr/>
          <w:p>
            <w:pPr>
              <w:pStyle w:val="Compact"/>
              <w:jc w:val="right"/>
            </w:pPr>
            <w:r>
              <w:t xml:space="preserve">79.5%–80.5%</w:t>
            </w:r>
          </w:p>
        </w:tc>
        <w:tc>
          <w:tcPr/>
          <w:p>
            <w:pPr>
              <w:pStyle w:val="Compact"/>
              <w:jc w:val="right"/>
            </w:pPr>
            <w:r>
              <w:t xml:space="preserve">Around 80%</w:t>
            </w:r>
          </w:p>
        </w:tc>
        <w:tc>
          <w:tcPr/>
          <w:p>
            <w:pPr>
              <w:pStyle w:val="Compact"/>
            </w:pPr>
            <w:r>
              <w:t xml:space="preserve">Product mix and component costs matter</w:t>
            </w:r>
          </w:p>
        </w:tc>
      </w:tr>
      <w:tr>
        <w:tc>
          <w:tcPr/>
          <w:p>
            <w:pPr>
              <w:pStyle w:val="Compact"/>
            </w:pPr>
            <w:r>
              <w:t xml:space="preserve">Non-GAAP operating margin</w:t>
            </w:r>
          </w:p>
        </w:tc>
        <w:tc>
          <w:tcPr/>
          <w:p>
            <w:pPr>
              <w:pStyle w:val="Compact"/>
              <w:jc w:val="right"/>
            </w:pPr>
            <w:r>
              <w:t xml:space="preserve">33%–35%</w:t>
            </w:r>
          </w:p>
        </w:tc>
        <w:tc>
          <w:tcPr/>
          <w:p>
            <w:pPr>
              <w:pStyle w:val="Compact"/>
              <w:jc w:val="right"/>
            </w:pPr>
            <w:r>
              <w:t xml:space="preserve">~34%</w:t>
            </w:r>
          </w:p>
        </w:tc>
        <w:tc>
          <w:tcPr/>
          <w:p>
            <w:pPr>
              <w:pStyle w:val="Compact"/>
            </w:pPr>
            <w:r>
              <w:t xml:space="preserve">Versus 33.1% in Q2 2025</w:t>
            </w:r>
          </w:p>
        </w:tc>
      </w:tr>
      <w:tr>
        <w:tc>
          <w:tcPr/>
          <w:p>
            <w:pPr>
              <w:pStyle w:val="Compact"/>
            </w:pPr>
            <w:r>
              <w:t xml:space="preserve">Non-GAAP EPS</w:t>
            </w:r>
          </w:p>
        </w:tc>
        <w:tc>
          <w:tcPr/>
          <w:p>
            <w:pPr>
              <w:pStyle w:val="Compact"/>
              <w:jc w:val="right"/>
            </w:pPr>
            <m:oMath>
              <m:r>
                <m:t>0.72</m:t>
              </m:r>
              <m:r>
                <m:rPr>
                  <m:sty m:val="p"/>
                </m:rPr>
                <m:t>–</m:t>
              </m:r>
            </m:oMath>
            <w:r>
              <w:t xml:space="preserve">0.76</w:t>
            </w:r>
          </w:p>
        </w:tc>
        <w:tc>
          <w:tcPr/>
          <w:p>
            <w:pPr>
              <w:pStyle w:val="Compact"/>
              <w:jc w:val="right"/>
            </w:pPr>
            <w:r>
              <w:t xml:space="preserve">$0.75</w:t>
            </w:r>
          </w:p>
        </w:tc>
        <w:tc>
          <w:tcPr/>
          <w:p>
            <w:pPr>
              <w:pStyle w:val="Compact"/>
            </w:pPr>
            <w:r>
              <w:t xml:space="preserve">Approximately 17% growth from $0.64</w:t>
            </w:r>
          </w:p>
        </w:tc>
      </w:tr>
    </w:tbl>
    <w:p>
      <w:pPr>
        <w:pStyle w:val="BodyText"/>
      </w:pPr>
      <w:r>
        <w:t xml:space="preserve">Fortinet’s Q2 guidance midpoint already implies a slowdown from Q1’s 20% revenue and 31% billings growth. However, consensus is clustered close to the midpoint of management’s ranges, so merely matching consensus probably will not establish that Q1’s upside is durable. (</w:t>
      </w:r>
      <w:hyperlink r:id="rId13">
        <w:r>
          <w:rPr>
            <w:rStyle w:val="Hyperlink"/>
          </w:rPr>
          <w:t xml:space="preserve">investor.fortinet.com</w:t>
        </w:r>
      </w:hyperlink>
      <w:r>
        <w:t xml:space="preserve">)</w:t>
      </w:r>
    </w:p>
    <w:p>
      <w:r>
        <w:pict>
          <v:rect style="width:0;height:1.5pt" o:hralign="center" o:hrstd="t" o:hr="t"/>
        </w:pict>
      </w:r>
    </w:p>
    <w:bookmarkEnd w:id="14"/>
    <w:bookmarkStart w:id="20" w:name="the-five-issues-that-matter-most"/>
    <w:p>
      <w:pPr>
        <w:pStyle w:val="Heading2"/>
      </w:pPr>
      <w:r>
        <w:t xml:space="preserve">The five issues that matter most</w:t>
      </w:r>
    </w:p>
    <w:bookmarkStart w:id="15" w:name="X09f5319e798f2f27ad7a63d3f4ff434eff9dde7"/>
    <w:p>
      <w:pPr>
        <w:pStyle w:val="Heading3"/>
      </w:pPr>
      <w:r>
        <w:t xml:space="preserve">1. Was Q1’s product surge sustainable?</w:t>
      </w:r>
    </w:p>
    <w:p>
      <w:pPr>
        <w:pStyle w:val="FirstParagraph"/>
      </w:pPr>
      <w:r>
        <w:t xml:space="preserve">Product revenue grew 41% in Q1, driven by higher-performance FortiGate appliances, technology upgrades, AI-related deployments and new use cases. Management said pricing contributed only a low-single-digit amount and denied seeing meaningful pull-forward or excess channel inventory.</w:t>
      </w:r>
    </w:p>
    <w:p>
      <w:pPr>
        <w:pStyle w:val="BodyText"/>
      </w:pPr>
      <w:r>
        <w:t xml:space="preserve">This is the report’s central debate. At consensus revenue, and assuming service revenue continues growing around 11%–12%, product revenue would likely need to increase by roughly the</w:t>
      </w:r>
      <w:r>
        <w:t xml:space="preserve"> </w:t>
      </w:r>
      <w:r>
        <w:rPr>
          <w:b/>
          <w:bCs/>
        </w:rPr>
        <w:t xml:space="preserve">low-to-mid-20% range</w:t>
      </w:r>
      <w:r>
        <w:t xml:space="preserve">. That would be a sizable deceleration from Q1 but still very strong relative to the broader firewall market.</w:t>
      </w:r>
    </w:p>
    <w:p>
      <w:pPr>
        <w:pStyle w:val="BodyText"/>
      </w:pPr>
      <w:r>
        <w:t xml:space="preserve">Investors should focus on:</w:t>
      </w:r>
    </w:p>
    <w:p>
      <w:pPr>
        <w:pStyle w:val="Compact"/>
        <w:numPr>
          <w:ilvl w:val="0"/>
          <w:numId w:val="1002"/>
        </w:numPr>
      </w:pPr>
      <w:r>
        <w:t xml:space="preserve">Product revenue growth</w:t>
      </w:r>
    </w:p>
    <w:p>
      <w:pPr>
        <w:pStyle w:val="Compact"/>
        <w:numPr>
          <w:ilvl w:val="0"/>
          <w:numId w:val="1002"/>
        </w:numPr>
      </w:pPr>
      <w:r>
        <w:t xml:space="preserve">Secure Networking billings</w:t>
      </w:r>
    </w:p>
    <w:p>
      <w:pPr>
        <w:pStyle w:val="Compact"/>
        <w:numPr>
          <w:ilvl w:val="0"/>
          <w:numId w:val="1002"/>
        </w:numPr>
      </w:pPr>
      <w:r>
        <w:t xml:space="preserve">High-end and midrange FortiGate demand</w:t>
      </w:r>
    </w:p>
    <w:p>
      <w:pPr>
        <w:pStyle w:val="Compact"/>
        <w:numPr>
          <w:ilvl w:val="0"/>
          <w:numId w:val="1002"/>
        </w:numPr>
      </w:pPr>
      <w:r>
        <w:t xml:space="preserve">Channel inventory and order linearity</w:t>
      </w:r>
    </w:p>
    <w:p>
      <w:pPr>
        <w:pStyle w:val="Compact"/>
        <w:numPr>
          <w:ilvl w:val="0"/>
          <w:numId w:val="1002"/>
        </w:numPr>
      </w:pPr>
      <w:r>
        <w:t xml:space="preserve">Any evidence customers accelerated purchases ahead of price increases</w:t>
      </w:r>
    </w:p>
    <w:p>
      <w:pPr>
        <w:pStyle w:val="Compact"/>
        <w:numPr>
          <w:ilvl w:val="0"/>
          <w:numId w:val="1002"/>
        </w:numPr>
      </w:pPr>
      <w:r>
        <w:t xml:space="preserve">The contribution from pricing versus unit volume and product mix</w:t>
      </w:r>
    </w:p>
    <w:p>
      <w:pPr>
        <w:pStyle w:val="FirstParagraph"/>
      </w:pPr>
      <w:r>
        <w:rPr>
          <w:b/>
          <w:bCs/>
        </w:rPr>
        <w:t xml:space="preserve">Positive read:</w:t>
      </w:r>
      <w:r>
        <w:t xml:space="preserve"> </w:t>
      </w:r>
      <w:r>
        <w:t xml:space="preserve">Product growth remains above 20%, with management describing broad demand and normal channel inventory.</w:t>
      </w:r>
    </w:p>
    <w:p>
      <w:pPr>
        <w:pStyle w:val="BodyText"/>
      </w:pPr>
      <w:r>
        <w:rPr>
          <w:b/>
          <w:bCs/>
        </w:rPr>
        <w:t xml:space="preserve">Negative read:</w:t>
      </w:r>
      <w:r>
        <w:t xml:space="preserve"> </w:t>
      </w:r>
      <w:r>
        <w:t xml:space="preserve">Growth falls toward the low teens, or management points to timing, large deals or pricing as the principal drivers.</w:t>
      </w:r>
    </w:p>
    <w:p>
      <w:r>
        <w:pict>
          <v:rect style="width:0;height:1.5pt" o:hralign="center" o:hrstd="t" o:hr="t"/>
        </w:pict>
      </w:r>
    </w:p>
    <w:bookmarkEnd w:id="15"/>
    <w:bookmarkStart w:id="16" w:name="X86a9a9f8d352333c9795f054d84c39004f5114c"/>
    <w:p>
      <w:pPr>
        <w:pStyle w:val="Heading3"/>
      </w:pPr>
      <w:r>
        <w:t xml:space="preserve">2. Is AI becoming a measurable revenue driver?</w:t>
      </w:r>
    </w:p>
    <w:p>
      <w:pPr>
        <w:pStyle w:val="FirstParagraph"/>
      </w:pPr>
      <w:r>
        <w:t xml:space="preserve">Management has presented three distinct AI-related opportunities:</w:t>
      </w:r>
    </w:p>
    <w:p>
      <w:pPr>
        <w:pStyle w:val="Compact"/>
        <w:numPr>
          <w:ilvl w:val="0"/>
          <w:numId w:val="1003"/>
        </w:numPr>
      </w:pPr>
      <w:r>
        <w:rPr>
          <w:b/>
          <w:bCs/>
        </w:rPr>
        <w:t xml:space="preserve">Securing AI data centers</w:t>
      </w:r>
      <w:r>
        <w:t xml:space="preserve">, including high-throughput perimeter protection and segmentation</w:t>
      </w:r>
    </w:p>
    <w:p>
      <w:pPr>
        <w:pStyle w:val="Compact"/>
        <w:numPr>
          <w:ilvl w:val="0"/>
          <w:numId w:val="1003"/>
        </w:numPr>
      </w:pPr>
      <w:r>
        <w:rPr>
          <w:b/>
          <w:bCs/>
        </w:rPr>
        <w:t xml:space="preserve">Protecting enterprises adopting AI</w:t>
      </w:r>
      <w:r>
        <w:t xml:space="preserve">, particularly internal east-west traffic and “shadow AI”</w:t>
      </w:r>
    </w:p>
    <w:p>
      <w:pPr>
        <w:pStyle w:val="Compact"/>
        <w:numPr>
          <w:ilvl w:val="0"/>
          <w:numId w:val="1003"/>
        </w:numPr>
      </w:pPr>
      <w:r>
        <w:rPr>
          <w:b/>
          <w:bCs/>
        </w:rPr>
        <w:t xml:space="preserve">Using AI in security operations</w:t>
      </w:r>
      <w:r>
        <w:t xml:space="preserve">, including FortiSOC and other AI-enabled security products</w:t>
      </w:r>
    </w:p>
    <w:p>
      <w:pPr>
        <w:pStyle w:val="FirstParagraph"/>
      </w:pPr>
      <w:r>
        <w:t xml:space="preserve">Fortinet’s ASIC-based architecture could be particularly relevant in AI environments because traffic inspection requires high throughput, low latency and energy efficiency. Q1 included several significant AI-infrastructure wins, but investors now need to distinguish repeatable demand from a small number of reference projects.</w:t>
      </w:r>
    </w:p>
    <w:p>
      <w:pPr>
        <w:pStyle w:val="BodyText"/>
      </w:pPr>
      <w:r>
        <w:t xml:space="preserve">Useful disclosures would include:</w:t>
      </w:r>
    </w:p>
    <w:p>
      <w:pPr>
        <w:pStyle w:val="Compact"/>
        <w:numPr>
          <w:ilvl w:val="0"/>
          <w:numId w:val="1004"/>
        </w:numPr>
      </w:pPr>
      <w:r>
        <w:t xml:space="preserve">Number and size of AI-related deals</w:t>
      </w:r>
    </w:p>
    <w:p>
      <w:pPr>
        <w:pStyle w:val="Compact"/>
        <w:numPr>
          <w:ilvl w:val="0"/>
          <w:numId w:val="1004"/>
        </w:numPr>
      </w:pPr>
      <w:r>
        <w:t xml:space="preserve">AI-data-center pipeline conversion</w:t>
      </w:r>
    </w:p>
    <w:p>
      <w:pPr>
        <w:pStyle w:val="Compact"/>
        <w:numPr>
          <w:ilvl w:val="0"/>
          <w:numId w:val="1004"/>
        </w:numPr>
      </w:pPr>
      <w:r>
        <w:t xml:space="preserve">Demand from enterprises versus hyperscalers and service providers</w:t>
      </w:r>
    </w:p>
    <w:p>
      <w:pPr>
        <w:pStyle w:val="Compact"/>
        <w:numPr>
          <w:ilvl w:val="0"/>
          <w:numId w:val="1004"/>
        </w:numPr>
      </w:pPr>
      <w:r>
        <w:t xml:space="preserve">Whether AI deployments include recurring services</w:t>
      </w:r>
    </w:p>
    <w:p>
      <w:pPr>
        <w:pStyle w:val="Compact"/>
        <w:numPr>
          <w:ilvl w:val="0"/>
          <w:numId w:val="1004"/>
        </w:numPr>
      </w:pPr>
      <w:r>
        <w:t xml:space="preserve">Timing from initial appliance sales to subscription revenue</w:t>
      </w:r>
    </w:p>
    <w:p>
      <w:pPr>
        <w:pStyle w:val="FirstParagraph"/>
      </w:pPr>
      <w:r>
        <w:t xml:space="preserve">The recent decision to manufacture Fortinet’s next-generation SP6 security chip on Intel’s Intel 4 process reinforces the company’s long-term commitment to proprietary ASICs, but it is primarily a strategic development rather than a material Q2 earnings driver.</w:t>
      </w:r>
    </w:p>
    <w:p>
      <w:r>
        <w:pict>
          <v:rect style="width:0;height:1.5pt" o:hralign="center" o:hrstd="t" o:hr="t"/>
        </w:pict>
      </w:r>
    </w:p>
    <w:bookmarkEnd w:id="16"/>
    <w:bookmarkStart w:id="17" w:name="X2d49e65fadcf8e71f62d0a27d53a83f1486fc83"/>
    <w:p>
      <w:pPr>
        <w:pStyle w:val="Heading3"/>
      </w:pPr>
      <w:r>
        <w:t xml:space="preserve">3. Can SASE convert the installed base into recurring revenue?</w:t>
      </w:r>
    </w:p>
    <w:p>
      <w:pPr>
        <w:pStyle w:val="FirstParagraph"/>
      </w:pPr>
      <w:r>
        <w:t xml:space="preserve">Unified SASE billings grew 31% in Q1. Fortinet said approximately</w:t>
      </w:r>
      <w:r>
        <w:t xml:space="preserve"> </w:t>
      </w:r>
      <w:r>
        <w:rPr>
          <w:b/>
          <w:bCs/>
        </w:rPr>
        <w:t xml:space="preserve">18% of its large-enterprise customers</w:t>
      </w:r>
      <w:r>
        <w:t xml:space="preserve"> </w:t>
      </w:r>
      <w:r>
        <w:t xml:space="preserve">had purchased FortiSASE, up materially year over year, while SD-WAN penetration was much higher.</w:t>
      </w:r>
    </w:p>
    <w:p>
      <w:pPr>
        <w:pStyle w:val="BodyText"/>
      </w:pPr>
      <w:r>
        <w:t xml:space="preserve">The company’s advantage is that firewall, SD-WAN and SASE capabilities share FortiOS. Customers can therefore expand an existing FortiGate deployment rather than implement an entirely separate architecture. Fortinet is also emphasizing private and sovereign SASE, particularly in Europe and regulated industries.</w:t>
      </w:r>
    </w:p>
    <w:p>
      <w:pPr>
        <w:pStyle w:val="BodyText"/>
      </w:pPr>
      <w:r>
        <w:t xml:space="preserve">Watch for:</w:t>
      </w:r>
    </w:p>
    <w:p>
      <w:pPr>
        <w:pStyle w:val="Compact"/>
        <w:numPr>
          <w:ilvl w:val="0"/>
          <w:numId w:val="1005"/>
        </w:numPr>
      </w:pPr>
      <w:r>
        <w:t xml:space="preserve">Unified SASE billings growth</w:t>
      </w:r>
    </w:p>
    <w:p>
      <w:pPr>
        <w:pStyle w:val="Compact"/>
        <w:numPr>
          <w:ilvl w:val="0"/>
          <w:numId w:val="1005"/>
        </w:numPr>
      </w:pPr>
      <w:r>
        <w:t xml:space="preserve">FortiSASE ARR</w:t>
      </w:r>
    </w:p>
    <w:p>
      <w:pPr>
        <w:pStyle w:val="Compact"/>
        <w:numPr>
          <w:ilvl w:val="0"/>
          <w:numId w:val="1005"/>
        </w:numPr>
      </w:pPr>
      <w:r>
        <w:t xml:space="preserve">Large-enterprise FortiSASE penetration</w:t>
      </w:r>
    </w:p>
    <w:p>
      <w:pPr>
        <w:pStyle w:val="Compact"/>
        <w:numPr>
          <w:ilvl w:val="0"/>
          <w:numId w:val="1005"/>
        </w:numPr>
      </w:pPr>
      <w:r>
        <w:t xml:space="preserve">Adoption of the new SD-WAN/SASE services bundle</w:t>
      </w:r>
    </w:p>
    <w:p>
      <w:pPr>
        <w:pStyle w:val="Compact"/>
        <w:numPr>
          <w:ilvl w:val="0"/>
          <w:numId w:val="1005"/>
        </w:numPr>
      </w:pPr>
      <w:r>
        <w:t xml:space="preserve">Cloud SASE versus sovereign/private SASE demand</w:t>
      </w:r>
    </w:p>
    <w:p>
      <w:pPr>
        <w:pStyle w:val="Compact"/>
        <w:numPr>
          <w:ilvl w:val="0"/>
          <w:numId w:val="1005"/>
        </w:numPr>
      </w:pPr>
      <w:r>
        <w:t xml:space="preserve">Subscription attach rates on appliance sales</w:t>
      </w:r>
    </w:p>
    <w:p>
      <w:pPr>
        <w:pStyle w:val="FirstParagraph"/>
      </w:pPr>
      <w:r>
        <w:t xml:space="preserve">A strong SASE result would improve the quality of the growth narrative by demonstrating that the current hardware cycle is creating a larger recurring-revenue base.</w:t>
      </w:r>
    </w:p>
    <w:p>
      <w:r>
        <w:pict>
          <v:rect style="width:0;height:1.5pt" o:hralign="center" o:hrstd="t" o:hr="t"/>
        </w:pict>
      </w:r>
    </w:p>
    <w:bookmarkEnd w:id="17"/>
    <w:bookmarkStart w:id="18" w:name="X4de80518f6dacf4aecb38e90399525dedc8e0da"/>
    <w:p>
      <w:pPr>
        <w:pStyle w:val="Heading3"/>
      </w:pPr>
      <w:r>
        <w:t xml:space="preserve">4. When does service revenue accelerate?</w:t>
      </w:r>
    </w:p>
    <w:p>
      <w:pPr>
        <w:pStyle w:val="FirstParagraph"/>
      </w:pPr>
      <w:r>
        <w:t xml:space="preserve">Q1 service revenue grew only 11%, considerably slower than product revenue. But the leading indicators were substantially better:</w:t>
      </w:r>
    </w:p>
    <w:p>
      <w:pPr>
        <w:pStyle w:val="Compact"/>
        <w:numPr>
          <w:ilvl w:val="0"/>
          <w:numId w:val="1006"/>
        </w:numPr>
      </w:pPr>
      <w:r>
        <w:t xml:space="preserve">Service billings grew</w:t>
      </w:r>
      <w:r>
        <w:t xml:space="preserve"> </w:t>
      </w:r>
      <w:r>
        <w:rPr>
          <w:b/>
          <w:bCs/>
        </w:rPr>
        <w:t xml:space="preserve">27%</w:t>
      </w:r>
    </w:p>
    <w:p>
      <w:pPr>
        <w:pStyle w:val="Compact"/>
        <w:numPr>
          <w:ilvl w:val="0"/>
          <w:numId w:val="1006"/>
        </w:numPr>
      </w:pPr>
      <w:r>
        <w:t xml:space="preserve">Deferred revenue grew</w:t>
      </w:r>
      <w:r>
        <w:t xml:space="preserve"> </w:t>
      </w:r>
      <w:r>
        <w:rPr>
          <w:b/>
          <w:bCs/>
        </w:rPr>
        <w:t xml:space="preserve">15%</w:t>
      </w:r>
    </w:p>
    <w:p>
      <w:pPr>
        <w:pStyle w:val="Compact"/>
        <w:numPr>
          <w:ilvl w:val="0"/>
          <w:numId w:val="1006"/>
        </w:numPr>
      </w:pPr>
      <w:r>
        <w:t xml:space="preserve">Security Operations ARR strengthened</w:t>
      </w:r>
    </w:p>
    <w:p>
      <w:pPr>
        <w:pStyle w:val="Compact"/>
        <w:numPr>
          <w:ilvl w:val="0"/>
          <w:numId w:val="1006"/>
        </w:numPr>
      </w:pPr>
      <w:r>
        <w:t xml:space="preserve">Management reiterated that service-revenue growth should accelerate in the second half</w:t>
      </w:r>
    </w:p>
    <w:p>
      <w:pPr>
        <w:pStyle w:val="FirstParagraph"/>
      </w:pPr>
      <w:r>
        <w:t xml:space="preserve">The lag is understandable: hardware and service billings can increase immediately, while service revenue is recognized over the contract term. Nevertheless, the second-half acceleration is now a key component of the full-year thesis.</w:t>
      </w:r>
    </w:p>
    <w:p>
      <w:pPr>
        <w:pStyle w:val="BodyText"/>
      </w:pPr>
      <w:r>
        <w:t xml:space="preserve">Fortinet’s 2026 service-revenue guidance is</w:t>
      </w:r>
      <w:r>
        <w:t xml:space="preserve"> </w:t>
      </w:r>
      <m:oMath>
        <m:r>
          <m:t>5.09</m:t>
        </m:r>
        <m:r>
          <m:t>b</m:t>
        </m:r>
        <m:r>
          <m:t>i</m:t>
        </m:r>
        <m:r>
          <m:t>l</m:t>
        </m:r>
        <m:r>
          <m:t>l</m:t>
        </m:r>
        <m:r>
          <m:t>i</m:t>
        </m:r>
        <m:r>
          <m:t>o</m:t>
        </m:r>
        <m:r>
          <m:t>n</m:t>
        </m:r>
        <m:r>
          <m:rPr>
            <m:sty m:val="p"/>
          </m:rPr>
          <m:t>–</m:t>
        </m:r>
      </m:oMath>
      <w:r>
        <w:rPr>
          <w:b/>
          <w:bCs/>
        </w:rPr>
        <w:t xml:space="preserve">5.15 billion</w:t>
      </w:r>
      <w:r>
        <w:t xml:space="preserve">, or about 12% growth at the midpoint. A weak Q2 service result accompanied by unchanged commentary would increase the burden on Q3 and Q4.</w:t>
      </w:r>
    </w:p>
    <w:p>
      <w:pPr>
        <w:pStyle w:val="BodyText"/>
      </w:pPr>
      <w:r>
        <w:rPr>
          <w:b/>
          <w:bCs/>
        </w:rPr>
        <w:t xml:space="preserve">Best outcome:</w:t>
      </w:r>
      <w:r>
        <w:t xml:space="preserve"> </w:t>
      </w:r>
      <w:r>
        <w:t xml:space="preserve">Service revenue begins accelerating in Q2 and management raises or expresses greater confidence in the full-year range.</w:t>
      </w:r>
    </w:p>
    <w:p>
      <w:pPr>
        <w:pStyle w:val="BodyText"/>
      </w:pPr>
      <w:r>
        <w:rPr>
          <w:b/>
          <w:bCs/>
        </w:rPr>
        <w:t xml:space="preserve">Concern:</w:t>
      </w:r>
      <w:r>
        <w:t xml:space="preserve"> </w:t>
      </w:r>
      <w:r>
        <w:t xml:space="preserve">Service revenue remains near 10%–11%, attach rates soften, or management pushes the inflection further out.</w:t>
      </w:r>
    </w:p>
    <w:p>
      <w:r>
        <w:pict>
          <v:rect style="width:0;height:1.5pt" o:hralign="center" o:hrstd="t" o:hr="t"/>
        </w:pict>
      </w:r>
    </w:p>
    <w:bookmarkEnd w:id="18"/>
    <w:bookmarkStart w:id="19" w:name="X59c6e2dd33bcfcc109f3311094a93491d717aa6"/>
    <w:p>
      <w:pPr>
        <w:pStyle w:val="Heading3"/>
      </w:pPr>
      <w:r>
        <w:t xml:space="preserve">5. Can Fortinet preserve margins while product growth remains high?</w:t>
      </w:r>
    </w:p>
    <w:p>
      <w:pPr>
        <w:pStyle w:val="FirstParagraph"/>
      </w:pPr>
      <w:r>
        <w:t xml:space="preserve">Fortinet generated an 81% non-GAAP gross margin in Q1 despite a major shift toward lower-margin product revenue. For Q2, management guided to 79.5%–80.5%, reflecting product mix and higher component costs.</w:t>
      </w:r>
    </w:p>
    <w:p>
      <w:pPr>
        <w:pStyle w:val="BodyText"/>
      </w:pPr>
      <w:r>
        <w:t xml:space="preserve">Management has said it will adjust prices to offset component inflation rather than use shortages to expand margins. Fortinet also carries relatively high component inventory and operates a more direct supply chain than many competitors.</w:t>
      </w:r>
    </w:p>
    <w:p>
      <w:pPr>
        <w:pStyle w:val="BodyText"/>
      </w:pPr>
      <w:r>
        <w:t xml:space="preserve">A particularly strong result would combine:</w:t>
      </w:r>
    </w:p>
    <w:p>
      <w:pPr>
        <w:pStyle w:val="Compact"/>
        <w:numPr>
          <w:ilvl w:val="0"/>
          <w:numId w:val="1007"/>
        </w:numPr>
      </w:pPr>
      <w:r>
        <w:t xml:space="preserve">Product growth above 20%</w:t>
      </w:r>
    </w:p>
    <w:p>
      <w:pPr>
        <w:pStyle w:val="Compact"/>
        <w:numPr>
          <w:ilvl w:val="0"/>
          <w:numId w:val="1007"/>
        </w:numPr>
      </w:pPr>
      <w:r>
        <w:t xml:space="preserve">Gross margin around or above 80%</w:t>
      </w:r>
    </w:p>
    <w:p>
      <w:pPr>
        <w:pStyle w:val="Compact"/>
        <w:numPr>
          <w:ilvl w:val="0"/>
          <w:numId w:val="1007"/>
        </w:numPr>
      </w:pPr>
      <w:r>
        <w:t xml:space="preserve">Operating margin at or above 35%</w:t>
      </w:r>
    </w:p>
    <w:p>
      <w:pPr>
        <w:pStyle w:val="Compact"/>
        <w:numPr>
          <w:ilvl w:val="0"/>
          <w:numId w:val="1007"/>
        </w:numPr>
      </w:pPr>
      <w:r>
        <w:t xml:space="preserve">No deterioration in order lead times or availability</w:t>
      </w:r>
    </w:p>
    <w:p>
      <w:pPr>
        <w:pStyle w:val="FirstParagraph"/>
      </w:pPr>
      <w:r>
        <w:t xml:space="preserve">A product beat achieved at the expense of gross margin would be lower quality. Conversely, a margin beat caused by weaker hardware sales would not necessarily be bullish.</w:t>
      </w:r>
    </w:p>
    <w:p>
      <w:r>
        <w:pict>
          <v:rect style="width:0;height:1.5pt" o:hralign="center" o:hrstd="t" o:hr="t"/>
        </w:pict>
      </w:r>
    </w:p>
    <w:bookmarkEnd w:id="19"/>
    <w:bookmarkEnd w:id="20"/>
    <w:bookmarkStart w:id="21" w:name="Xb73d4f80aba146dc2ded5dfa7e089bf41b9f5d8"/>
    <w:p>
      <w:pPr>
        <w:pStyle w:val="Heading2"/>
      </w:pPr>
      <w:r>
        <w:t xml:space="preserve">Full-year guidance is likely to drive the reaction</w:t>
      </w:r>
    </w:p>
    <w:p>
      <w:pPr>
        <w:pStyle w:val="FirstParagraph"/>
      </w:pPr>
      <w:r>
        <w:t xml:space="preserve">Current 2026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Revenue</w:t>
            </w:r>
          </w:p>
        </w:tc>
        <w:tc>
          <w:tcPr/>
          <w:p>
            <w:pPr>
              <w:pStyle w:val="Compact"/>
              <w:jc w:val="right"/>
            </w:pPr>
            <m:oMath>
              <m:r>
                <m:t>7.71</m:t>
              </m:r>
              <m:r>
                <m:t>B</m:t>
              </m:r>
              <m:r>
                <m:rPr>
                  <m:sty m:val="p"/>
                </m:rPr>
                <m:t>–</m:t>
              </m:r>
            </m:oMath>
            <w:r>
              <w:t xml:space="preserve">7.87B</w:t>
            </w:r>
          </w:p>
        </w:tc>
      </w:tr>
      <w:tr>
        <w:tc>
          <w:tcPr/>
          <w:p>
            <w:pPr>
              <w:pStyle w:val="Compact"/>
            </w:pPr>
            <w:r>
              <w:t xml:space="preserve">Service revenue</w:t>
            </w:r>
          </w:p>
        </w:tc>
        <w:tc>
          <w:tcPr/>
          <w:p>
            <w:pPr>
              <w:pStyle w:val="Compact"/>
              <w:jc w:val="right"/>
            </w:pPr>
            <m:oMath>
              <m:r>
                <m:t>5.09</m:t>
              </m:r>
              <m:r>
                <m:t>B</m:t>
              </m:r>
              <m:r>
                <m:rPr>
                  <m:sty m:val="p"/>
                </m:rPr>
                <m:t>–</m:t>
              </m:r>
            </m:oMath>
            <w:r>
              <w:t xml:space="preserve">5.15B</w:t>
            </w:r>
          </w:p>
        </w:tc>
      </w:tr>
      <w:tr>
        <w:tc>
          <w:tcPr/>
          <w:p>
            <w:pPr>
              <w:pStyle w:val="Compact"/>
            </w:pPr>
            <w:r>
              <w:t xml:space="preserve">Billings</w:t>
            </w:r>
          </w:p>
        </w:tc>
        <w:tc>
          <w:tcPr/>
          <w:p>
            <w:pPr>
              <w:pStyle w:val="Compact"/>
              <w:jc w:val="right"/>
            </w:pPr>
            <m:oMath>
              <m:r>
                <m:t>8.80</m:t>
              </m:r>
              <m:r>
                <m:t>B</m:t>
              </m:r>
              <m:r>
                <m:rPr>
                  <m:sty m:val="p"/>
                </m:rPr>
                <m:t>–</m:t>
              </m:r>
            </m:oMath>
            <w:r>
              <w:t xml:space="preserve">9.10B</w:t>
            </w:r>
          </w:p>
        </w:tc>
      </w:tr>
      <w:tr>
        <w:tc>
          <w:tcPr/>
          <w:p>
            <w:pPr>
              <w:pStyle w:val="Compact"/>
            </w:pPr>
            <w:r>
              <w:t xml:space="preserve">Non-GAAP gross margin</w:t>
            </w:r>
          </w:p>
        </w:tc>
        <w:tc>
          <w:tcPr/>
          <w:p>
            <w:pPr>
              <w:pStyle w:val="Compact"/>
              <w:jc w:val="right"/>
            </w:pPr>
            <w:r>
              <w:t xml:space="preserve">79%–81%</w:t>
            </w:r>
          </w:p>
        </w:tc>
      </w:tr>
      <w:tr>
        <w:tc>
          <w:tcPr/>
          <w:p>
            <w:pPr>
              <w:pStyle w:val="Compact"/>
            </w:pPr>
            <w:r>
              <w:t xml:space="preserve">Non-GAAP operating margin</w:t>
            </w:r>
          </w:p>
        </w:tc>
        <w:tc>
          <w:tcPr/>
          <w:p>
            <w:pPr>
              <w:pStyle w:val="Compact"/>
              <w:jc w:val="right"/>
            </w:pPr>
            <w:r>
              <w:t xml:space="preserve">33%–36%</w:t>
            </w:r>
          </w:p>
        </w:tc>
      </w:tr>
      <w:tr>
        <w:tc>
          <w:tcPr/>
          <w:p>
            <w:pPr>
              <w:pStyle w:val="Compact"/>
            </w:pPr>
            <w:r>
              <w:t xml:space="preserve">Non-GAAP EPS</w:t>
            </w:r>
          </w:p>
        </w:tc>
        <w:tc>
          <w:tcPr/>
          <w:p>
            <w:pPr>
              <w:pStyle w:val="Compact"/>
              <w:jc w:val="right"/>
            </w:pPr>
            <m:oMath>
              <m:r>
                <m:t>3.10</m:t>
              </m:r>
              <m:r>
                <m:rPr>
                  <m:sty m:val="p"/>
                </m:rPr>
                <m:t>–</m:t>
              </m:r>
            </m:oMath>
            <w:r>
              <w:t xml:space="preserve">3.16</w:t>
            </w:r>
          </w:p>
        </w:tc>
      </w:tr>
    </w:tbl>
    <w:p>
      <w:pPr>
        <w:pStyle w:val="BodyText"/>
      </w:pPr>
      <w:r>
        <w:t xml:space="preserve">Management already raised these ranges after Q1. Given the subsequent stock appreciation,</w:t>
      </w:r>
      <w:r>
        <w:t xml:space="preserve"> </w:t>
      </w:r>
      <w:r>
        <w:rPr>
          <w:b/>
          <w:bCs/>
        </w:rPr>
        <w:t xml:space="preserve">simply reiterating guidance after a Q2 beat could be treated as cautious or disappointing</w:t>
      </w:r>
      <w:r>
        <w:t xml:space="preserve">. (</w:t>
      </w:r>
      <w:hyperlink r:id="rId13">
        <w:r>
          <w:rPr>
            <w:rStyle w:val="Hyperlink"/>
          </w:rPr>
          <w:t xml:space="preserve">investor.fortinet.com</w:t>
        </w:r>
      </w:hyperlink>
      <w:r>
        <w:t xml:space="preserve">)</w:t>
      </w:r>
    </w:p>
    <w:p>
      <w:pPr>
        <w:pStyle w:val="BodyText"/>
      </w:pPr>
      <w:r>
        <w:t xml:space="preserve">The most important guidance questions are:</w:t>
      </w:r>
    </w:p>
    <w:p>
      <w:pPr>
        <w:pStyle w:val="Compact"/>
        <w:numPr>
          <w:ilvl w:val="0"/>
          <w:numId w:val="1008"/>
        </w:numPr>
      </w:pPr>
      <w:r>
        <w:t xml:space="preserve">Does full-year billings move above the current $9.10 billion high end?</w:t>
      </w:r>
    </w:p>
    <w:p>
      <w:pPr>
        <w:pStyle w:val="Compact"/>
        <w:numPr>
          <w:ilvl w:val="0"/>
          <w:numId w:val="1008"/>
        </w:numPr>
      </w:pPr>
      <w:r>
        <w:t xml:space="preserve">Is revenue guidance raised above $7.87 billion?</w:t>
      </w:r>
    </w:p>
    <w:p>
      <w:pPr>
        <w:pStyle w:val="Compact"/>
        <w:numPr>
          <w:ilvl w:val="0"/>
          <w:numId w:val="1008"/>
        </w:numPr>
      </w:pPr>
      <w:r>
        <w:t xml:space="preserve">Does management increase service-revenue guidance?</w:t>
      </w:r>
    </w:p>
    <w:p>
      <w:pPr>
        <w:pStyle w:val="Compact"/>
        <w:numPr>
          <w:ilvl w:val="0"/>
          <w:numId w:val="1008"/>
        </w:numPr>
      </w:pPr>
      <w:r>
        <w:t xml:space="preserve">Can the company raise EPS without relying primarily on buybacks?</w:t>
      </w:r>
    </w:p>
    <w:p>
      <w:pPr>
        <w:pStyle w:val="Compact"/>
        <w:numPr>
          <w:ilvl w:val="0"/>
          <w:numId w:val="1008"/>
        </w:numPr>
      </w:pPr>
      <w:r>
        <w:t xml:space="preserve">Does management still expect strong demand through the second half?</w:t>
      </w:r>
    </w:p>
    <w:p>
      <w:pPr>
        <w:pStyle w:val="Compact"/>
        <w:numPr>
          <w:ilvl w:val="0"/>
          <w:numId w:val="1008"/>
        </w:numPr>
      </w:pPr>
      <w:r>
        <w:t xml:space="preserve">Are Q3 growth rates consistent with Q1 being the start of a durable cycle?</w:t>
      </w:r>
    </w:p>
    <w:p>
      <w:r>
        <w:pict>
          <v:rect style="width:0;height:1.5pt" o:hralign="center" o:hrstd="t" o:hr="t"/>
        </w:pict>
      </w:r>
    </w:p>
    <w:bookmarkEnd w:id="21"/>
    <w:bookmarkStart w:id="25" w:name="potential-reaction-framework"/>
    <w:p>
      <w:pPr>
        <w:pStyle w:val="Heading2"/>
      </w:pPr>
      <w:r>
        <w:t xml:space="preserve">Potential reaction framework</w:t>
      </w:r>
    </w:p>
    <w:bookmarkStart w:id="22" w:name="bull-case"/>
    <w:p>
      <w:pPr>
        <w:pStyle w:val="Heading3"/>
      </w:pPr>
      <w:r>
        <w:t xml:space="preserve">Bull case</w:t>
      </w:r>
    </w:p>
    <w:p>
      <w:pPr>
        <w:pStyle w:val="Compact"/>
        <w:numPr>
          <w:ilvl w:val="0"/>
          <w:numId w:val="1009"/>
        </w:numPr>
      </w:pPr>
      <w:r>
        <w:t xml:space="preserve">Revenue exceeds the $1.93 billion guidance high end</w:t>
      </w:r>
    </w:p>
    <w:p>
      <w:pPr>
        <w:pStyle w:val="Compact"/>
        <w:numPr>
          <w:ilvl w:val="0"/>
          <w:numId w:val="1009"/>
        </w:numPr>
      </w:pPr>
      <w:r>
        <w:t xml:space="preserve">Billings exceed $2.19 billion</w:t>
      </w:r>
    </w:p>
    <w:p>
      <w:pPr>
        <w:pStyle w:val="Compact"/>
        <w:numPr>
          <w:ilvl w:val="0"/>
          <w:numId w:val="1009"/>
        </w:numPr>
      </w:pPr>
      <w:r>
        <w:t xml:space="preserve">Product growth remains above roughly 25%</w:t>
      </w:r>
    </w:p>
    <w:p>
      <w:pPr>
        <w:pStyle w:val="Compact"/>
        <w:numPr>
          <w:ilvl w:val="0"/>
          <w:numId w:val="1009"/>
        </w:numPr>
      </w:pPr>
      <w:r>
        <w:t xml:space="preserve">Unified SASE and OT growth remain strong</w:t>
      </w:r>
    </w:p>
    <w:p>
      <w:pPr>
        <w:pStyle w:val="Compact"/>
        <w:numPr>
          <w:ilvl w:val="0"/>
          <w:numId w:val="1009"/>
        </w:numPr>
      </w:pPr>
      <w:r>
        <w:t xml:space="preserve">Operating margin is at least 35%</w:t>
      </w:r>
    </w:p>
    <w:p>
      <w:pPr>
        <w:pStyle w:val="Compact"/>
        <w:numPr>
          <w:ilvl w:val="0"/>
          <w:numId w:val="1009"/>
        </w:numPr>
      </w:pPr>
      <w:r>
        <w:t xml:space="preserve">Full-year revenue and billings guidance are raised</w:t>
      </w:r>
    </w:p>
    <w:p>
      <w:pPr>
        <w:pStyle w:val="Compact"/>
        <w:numPr>
          <w:ilvl w:val="0"/>
          <w:numId w:val="1009"/>
        </w:numPr>
      </w:pPr>
      <w:r>
        <w:t xml:space="preserve">Management describes AI demand as broadening beyond a few large projects</w:t>
      </w:r>
    </w:p>
    <w:p>
      <w:pPr>
        <w:pStyle w:val="FirstParagraph"/>
      </w:pPr>
      <w:r>
        <w:t xml:space="preserve">This would support the view that Fortinet has entered a multiyear share-gain and appliance-refresh cycle, with recurring services to follow.</w:t>
      </w:r>
    </w:p>
    <w:bookmarkEnd w:id="22"/>
    <w:bookmarkStart w:id="23" w:name="base-case"/>
    <w:p>
      <w:pPr>
        <w:pStyle w:val="Heading3"/>
      </w:pPr>
      <w:r>
        <w:t xml:space="preserve">Base case</w:t>
      </w:r>
    </w:p>
    <w:p>
      <w:pPr>
        <w:pStyle w:val="Compact"/>
        <w:numPr>
          <w:ilvl w:val="0"/>
          <w:numId w:val="1010"/>
        </w:numPr>
      </w:pPr>
      <w:r>
        <w:t xml:space="preserve">Revenue and EPS modestly exceed consensus</w:t>
      </w:r>
    </w:p>
    <w:p>
      <w:pPr>
        <w:pStyle w:val="Compact"/>
        <w:numPr>
          <w:ilvl w:val="0"/>
          <w:numId w:val="1010"/>
        </w:numPr>
      </w:pPr>
      <w:r>
        <w:t xml:space="preserve">Billings land near the upper half of guidance</w:t>
      </w:r>
    </w:p>
    <w:p>
      <w:pPr>
        <w:pStyle w:val="Compact"/>
        <w:numPr>
          <w:ilvl w:val="0"/>
          <w:numId w:val="1010"/>
        </w:numPr>
      </w:pPr>
      <w:r>
        <w:t xml:space="preserve">Product growth decelerates but remains above 20%</w:t>
      </w:r>
    </w:p>
    <w:p>
      <w:pPr>
        <w:pStyle w:val="Compact"/>
        <w:numPr>
          <w:ilvl w:val="0"/>
          <w:numId w:val="1010"/>
        </w:numPr>
      </w:pPr>
      <w:r>
        <w:t xml:space="preserve">Margins remain healthy</w:t>
      </w:r>
    </w:p>
    <w:p>
      <w:pPr>
        <w:pStyle w:val="Compact"/>
        <w:numPr>
          <w:ilvl w:val="0"/>
          <w:numId w:val="1010"/>
        </w:numPr>
      </w:pPr>
      <w:r>
        <w:t xml:space="preserve">Management provides only a modest full-year increase</w:t>
      </w:r>
    </w:p>
    <w:p>
      <w:pPr>
        <w:pStyle w:val="FirstParagraph"/>
      </w:pPr>
      <w:r>
        <w:t xml:space="preserve">Operationally, this would be a good quarter. The stock response could still be muted because expectations and valuation are elevated.</w:t>
      </w:r>
    </w:p>
    <w:bookmarkEnd w:id="23"/>
    <w:bookmarkStart w:id="24" w:name="bear-case"/>
    <w:p>
      <w:pPr>
        <w:pStyle w:val="Heading3"/>
      </w:pPr>
      <w:r>
        <w:t xml:space="preserve">Bear case</w:t>
      </w:r>
    </w:p>
    <w:p>
      <w:pPr>
        <w:pStyle w:val="Compact"/>
        <w:numPr>
          <w:ilvl w:val="0"/>
          <w:numId w:val="1011"/>
        </w:numPr>
      </w:pPr>
      <w:r>
        <w:t xml:space="preserve">Billings miss or land near the low end</w:t>
      </w:r>
    </w:p>
    <w:p>
      <w:pPr>
        <w:pStyle w:val="Compact"/>
        <w:numPr>
          <w:ilvl w:val="0"/>
          <w:numId w:val="1011"/>
        </w:numPr>
      </w:pPr>
      <w:r>
        <w:t xml:space="preserve">Product growth drops sharply</w:t>
      </w:r>
    </w:p>
    <w:p>
      <w:pPr>
        <w:pStyle w:val="Compact"/>
        <w:numPr>
          <w:ilvl w:val="0"/>
          <w:numId w:val="1011"/>
        </w:numPr>
      </w:pPr>
      <w:r>
        <w:t xml:space="preserve">Service growth fails to accelerate</w:t>
      </w:r>
    </w:p>
    <w:p>
      <w:pPr>
        <w:pStyle w:val="Compact"/>
        <w:numPr>
          <w:ilvl w:val="0"/>
          <w:numId w:val="1011"/>
        </w:numPr>
      </w:pPr>
      <w:r>
        <w:t xml:space="preserve">Gross margin falls below 79.5%</w:t>
      </w:r>
    </w:p>
    <w:p>
      <w:pPr>
        <w:pStyle w:val="Compact"/>
        <w:numPr>
          <w:ilvl w:val="0"/>
          <w:numId w:val="1011"/>
        </w:numPr>
      </w:pPr>
      <w:r>
        <w:t xml:space="preserve">Management maintains or reduces the full-year outlook</w:t>
      </w:r>
    </w:p>
    <w:p>
      <w:pPr>
        <w:pStyle w:val="Compact"/>
        <w:numPr>
          <w:ilvl w:val="0"/>
          <w:numId w:val="1011"/>
        </w:numPr>
      </w:pPr>
      <w:r>
        <w:t xml:space="preserve">Commentary suggests Q1 benefited from timing, pricing or isolated AI projects</w:t>
      </w:r>
    </w:p>
    <w:p>
      <w:pPr>
        <w:pStyle w:val="FirstParagraph"/>
      </w:pPr>
      <w:r>
        <w:t xml:space="preserve">That combination would challenge the market’s assumption that Q1 represented a durable step-up in growth.</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Fortinet’s underlying setup is strong: it is taking share in network security, expanding into SASE and OT, and appears well positioned to secure AI infrastructure and internal enterprise traffic. Its platform, proprietary ASICs and supply-chain model provide credible differentiation.</w:t>
      </w:r>
    </w:p>
    <w:p>
      <w:pPr>
        <w:pStyle w:val="BodyText"/>
      </w:pPr>
      <w:r>
        <w:t xml:space="preserve">But at roughly 48 times the midpoint of current-year non-GAAP EPS guidance,</w:t>
      </w:r>
      <w:r>
        <w:t xml:space="preserve"> </w:t>
      </w:r>
      <w:r>
        <w:rPr>
          <w:b/>
          <w:bCs/>
        </w:rPr>
        <w:t xml:space="preserve">the stock needs more than a routine beat</w:t>
      </w:r>
      <w:r>
        <w:t xml:space="preserve">. The most important evidence will be:</w:t>
      </w:r>
    </w:p>
    <w:p>
      <w:pPr>
        <w:pStyle w:val="Compact"/>
        <w:numPr>
          <w:ilvl w:val="0"/>
          <w:numId w:val="1012"/>
        </w:numPr>
      </w:pPr>
      <w:r>
        <w:t xml:space="preserve">Billings above the $2.19 billion guidance high end</w:t>
      </w:r>
    </w:p>
    <w:p>
      <w:pPr>
        <w:pStyle w:val="Compact"/>
        <w:numPr>
          <w:ilvl w:val="0"/>
          <w:numId w:val="1012"/>
        </w:numPr>
      </w:pPr>
      <w:r>
        <w:t xml:space="preserve">Product growth remaining above 20% without material pull-forward</w:t>
      </w:r>
    </w:p>
    <w:p>
      <w:pPr>
        <w:pStyle w:val="Compact"/>
        <w:numPr>
          <w:ilvl w:val="0"/>
          <w:numId w:val="1012"/>
        </w:numPr>
      </w:pPr>
      <w:r>
        <w:t xml:space="preserve">Early confirmation of second-half service acceleration</w:t>
      </w:r>
    </w:p>
    <w:p>
      <w:pPr>
        <w:pStyle w:val="Compact"/>
        <w:numPr>
          <w:ilvl w:val="0"/>
          <w:numId w:val="1012"/>
        </w:numPr>
      </w:pPr>
      <w:r>
        <w:t xml:space="preserve">Sustained SASE and OT momentum</w:t>
      </w:r>
    </w:p>
    <w:p>
      <w:pPr>
        <w:pStyle w:val="Compact"/>
        <w:numPr>
          <w:ilvl w:val="0"/>
          <w:numId w:val="1012"/>
        </w:numPr>
      </w:pPr>
      <w:r>
        <w:t xml:space="preserve">A meaningful increase to full-year revenue and billings guidance</w:t>
      </w:r>
    </w:p>
    <w:p>
      <w:pPr>
        <w:pStyle w:val="FirstParagraph"/>
      </w:pPr>
      <w:r>
        <w:t xml:space="preserve">The cleanest bullish outcome is not simply higher Q2 revenue—it is a combination of</w:t>
      </w:r>
      <w:r>
        <w:t xml:space="preserve"> </w:t>
      </w:r>
      <w:r>
        <w:rPr>
          <w:b/>
          <w:bCs/>
        </w:rPr>
        <w:t xml:space="preserve">strong product demand, expanding recurring services, resilient margins and a credible guidance raise</w:t>
      </w:r>
      <w:r>
        <w:t xml:space="preserve">.</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fortinet.com/" TargetMode="External" /><Relationship Type="http://schemas.openxmlformats.org/officeDocument/2006/relationships/hyperlink" Id="rId10" Target="https://investor.fortinet.com/news-releases/news-release-details/fortinet-reports-strong-first-quarter-2026-financial-results?utm_source=openai" TargetMode="External" /><Relationship Type="http://schemas.openxmlformats.org/officeDocument/2006/relationships/hyperlink" Id="rId13" Target="https://investor.fortinet.com/static-files/9dc7117a-d2dc-4d9f-b151-c2eea950a0e4?utm_source=openai" TargetMode="External" /><Relationship Type="http://schemas.openxmlformats.org/officeDocument/2006/relationships/hyperlink" Id="rId11" Target="https://www.marketbeat.com/earnings/reports/2026-7-29-fortinet-inc-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fortinet.com/" TargetMode="External" /><Relationship Type="http://schemas.openxmlformats.org/officeDocument/2006/relationships/hyperlink" Id="rId10" Target="https://investor.fortinet.com/news-releases/news-release-details/fortinet-reports-strong-first-quarter-2026-financial-results?utm_source=openai" TargetMode="External" /><Relationship Type="http://schemas.openxmlformats.org/officeDocument/2006/relationships/hyperlink" Id="rId13" Target="https://investor.fortinet.com/static-files/9dc7117a-d2dc-4d9f-b151-c2eea950a0e4?utm_source=openai" TargetMode="External" /><Relationship Type="http://schemas.openxmlformats.org/officeDocument/2006/relationships/hyperlink" Id="rId11" Target="https://www.marketbeat.com/earnings/reports/2026-7-29-fortinet-inc-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2026-07-29T01:24:13Z</dcterms:created>
  <dcterms:modified xsi:type="dcterms:W3CDTF">2026-07-29T01:24:13Z</dcterms:modified>
</cp:coreProperties>
</file>

<file path=docProps/custom.xml><?xml version="1.0" encoding="utf-8"?>
<Properties xmlns="http://schemas.openxmlformats.org/officeDocument/2006/custom-properties" xmlns:vt="http://schemas.openxmlformats.org/officeDocument/2006/docPropsVTypes"/>
</file>