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ftnt-earnings-predictions--2026-07-29"/>
    <w:p>
      <w:pPr>
        <w:pStyle w:val="Heading1"/>
      </w:pPr>
      <w:r>
        <w:t xml:space="preserve">FTNT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FTNT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~$1.91B vs. cons $1.88B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FTNT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Billings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~$2.17B vs. cons $2.13B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FTNT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~$0.78 vs. cons $0.75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FTNT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~$7.90B vs. cons $7.84B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FTNT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billings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~$9.15B vs. cons $9.00B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FTNT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non-GAAP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~$3.20 vs. cons $3.16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FTNT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non-GAAP operating-margin commentary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~33.5% vs. cons 34.0%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FTNT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+4.5%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FTNT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+6.5% (FOLLOW-THROUGH)</w:t>
            </w:r>
          </w:p>
        </w:tc>
        <w:tc>
          <w:tcPr/>
          <w:p>
            <w:pPr>
              <w:pStyle w:val="Compact"/>
            </w:pPr>
            <w:r>
              <w:t xml:space="preserve">A ~4.5% day-1 residual versus a 0.0% neutral baseline should extend toward ~6.5% over five days versus 0.0% if the billings and FY26 guide-up lift out-period revenue and EPS estimates. The principal offset is a modestly lower ~33.5% Q3 operating-margin outlook versus ~34.0% consensus, reflecting hardware mix, memory costs, and infrastructure investment rather than demand weakness.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2026-07-29T01:23:31Z</dcterms:created>
  <dcterms:modified xsi:type="dcterms:W3CDTF">2026-07-29T01:23:31Z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