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fortinet-ftnt-q2-2026-earnings-preview"/>
    <w:p>
      <w:pPr>
        <w:pStyle w:val="Heading1"/>
      </w:pPr>
      <w:r>
        <w:t xml:space="preserve">Fortinet (FTNT) Q2 2026 Earnings Preview</w:t>
      </w:r>
    </w:p>
    <w:p>
      <w:pPr>
        <w:pStyle w:val="BlockText"/>
      </w:pPr>
      <w:r>
        <w:rPr>
          <w:b/>
          <w:bCs/>
        </w:rPr>
        <w:t xml:space="preserve">Timing note:</w:t>
      </w:r>
      <w:r>
        <w:t xml:space="preserve"> </w:t>
      </w:r>
      <w:r>
        <w:t xml:space="preserve">Today is</w:t>
      </w:r>
      <w:r>
        <w:t xml:space="preserve"> </w:t>
      </w:r>
      <w:r>
        <w:rPr>
          <w:b/>
          <w:bCs/>
        </w:rPr>
        <w:t xml:space="preserve">Wednesday, July 29, 2026</w:t>
      </w:r>
      <w:r>
        <w:t xml:space="preserve">. FTNT is scheduled to report</w:t>
      </w:r>
      <w:r>
        <w:t xml:space="preserve"> </w:t>
      </w:r>
      <w:r>
        <w:rPr>
          <w:b/>
          <w:bCs/>
        </w:rPr>
        <w:t xml:space="preserve">after the U.S. market close today</w:t>
      </w:r>
      <w:r>
        <w:t xml:space="preserve">, not tomorrow. The earnings call is expected to follow at 4:30 p.m. ET.</w:t>
      </w:r>
    </w:p>
    <w:bookmarkStart w:id="9" w:name="X67ba5ea86dad01361a79f44538cbf000ca6e38c"/>
    <w:p>
      <w:pPr>
        <w:pStyle w:val="Heading2"/>
      </w:pPr>
      <w:r>
        <w:t xml:space="preserve">Investment view: the quarter needs to validate an increasingly demanding AI-infrastructure thesis</w:t>
      </w:r>
    </w:p>
    <w:p>
      <w:pPr>
        <w:pStyle w:val="FirstParagraph"/>
      </w:pPr>
      <w:r>
        <w:t xml:space="preserve">Fortinet enters Q2 with fundamentals carrying substantial momentum—but also with a stock that already reflects a lot of it. Q1 showed a sharp reacceleration in product demand, billings, and free cash flow, driven by high-performance firewall refreshes, AI-infrastructure deployments, OT security, and SASE. The key issue for investors is no longer simply whether FTNT can meet its Q2 guide; consensus is effectively at the midpoint. The more important question is whether management can</w:t>
      </w:r>
      <w:r>
        <w:t xml:space="preserve"> </w:t>
      </w:r>
      <w:r>
        <w:rPr>
          <w:b/>
          <w:bCs/>
        </w:rPr>
        <w:t xml:space="preserve">sustain the growth step-up into the second half</w:t>
      </w:r>
      <w:r>
        <w:t xml:space="preserve"> </w:t>
      </w:r>
      <w:r>
        <w:t xml:space="preserve">while protecting gross margins amid memory-cost inflation and higher infrastructure investment.</w:t>
      </w:r>
    </w:p>
    <w:p>
      <w:pPr>
        <w:pStyle w:val="BodyText"/>
      </w:pPr>
      <w:r>
        <w:t xml:space="preserve">The setup is constructive operationally but high-barred for the stock. FTNT closed at</w:t>
      </w:r>
      <w:r>
        <w:t xml:space="preserve"> </w:t>
      </w:r>
      <w:r>
        <w:rPr>
          <w:b/>
          <w:bCs/>
        </w:rPr>
        <w:t xml:space="preserve">$150.01 on July 28</w:t>
      </w:r>
      <w:r>
        <w:t xml:space="preserve">, up roughly</w:t>
      </w:r>
      <w:r>
        <w:t xml:space="preserve"> </w:t>
      </w:r>
      <w:r>
        <w:rPr>
          <w:b/>
          <w:bCs/>
        </w:rPr>
        <w:t xml:space="preserve">93% year-to-date</w:t>
      </w:r>
      <w:r>
        <w:t xml:space="preserve"> </w:t>
      </w:r>
      <w:r>
        <w:t xml:space="preserve">and about</w:t>
      </w:r>
      <w:r>
        <w:t xml:space="preserve"> </w:t>
      </w:r>
      <w:r>
        <w:rPr>
          <w:b/>
          <w:bCs/>
        </w:rPr>
        <w:t xml:space="preserve">67% since its May 6 Q1 report</w:t>
      </w:r>
      <w:r>
        <w:t xml:space="preserve">. That makes the quality of the Q2 beat, the durability of billings, and commentary on 2H guidance more important than the headline result alone.</w:t>
      </w:r>
    </w:p>
    <w:p>
      <w:r>
        <w:pict>
          <v:rect style="width:0;height:1.5pt" o:hralign="center" o:hrstd="t" o:hr="t"/>
        </w:pic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YoY comparison</w:t>
            </w:r>
          </w:p>
        </w:tc>
        <w:tc>
          <w:tcPr/>
          <w:p>
            <w:pPr>
              <w:pStyle w:val="Compact"/>
              <w:jc w:val="right"/>
            </w:pPr>
            <w:r>
              <w:t xml:space="preserve">Company Q2 guide</w:t>
            </w:r>
          </w:p>
        </w:tc>
      </w:tr>
      <w:tr>
        <w:tc>
          <w:tcPr/>
          <w:p>
            <w:pPr>
              <w:pStyle w:val="Compact"/>
            </w:pPr>
            <w:r>
              <w:t xml:space="preserve">Revenue</w:t>
            </w:r>
          </w:p>
        </w:tc>
        <w:tc>
          <w:tcPr/>
          <w:p>
            <w:pPr>
              <w:pStyle w:val="Compact"/>
              <w:jc w:val="right"/>
            </w:pPr>
            <w:r>
              <w:rPr>
                <w:b/>
                <w:bCs/>
              </w:rPr>
              <w:t xml:space="preserve">$1.88B</w:t>
            </w:r>
          </w:p>
        </w:tc>
        <w:tc>
          <w:tcPr/>
          <w:p>
            <w:pPr>
              <w:pStyle w:val="Compact"/>
              <w:jc w:val="right"/>
            </w:pPr>
            <w:r>
              <w:t xml:space="preserve">+15%</w:t>
            </w:r>
          </w:p>
        </w:tc>
        <w:tc>
          <w:tcPr/>
          <w:p>
            <w:pPr>
              <w:pStyle w:val="Compact"/>
              <w:jc w:val="right"/>
            </w:pPr>
            <m:oMath>
              <m:r>
                <m:t>1.83</m:t>
              </m:r>
              <m:r>
                <m:t>B</m:t>
              </m:r>
              <m:r>
                <m:rPr>
                  <m:sty m:val="p"/>
                </m:rPr>
                <m:t>–</m:t>
              </m:r>
            </m:oMath>
            <w:r>
              <w:t xml:space="preserve">1.93B</w:t>
            </w:r>
          </w:p>
        </w:tc>
      </w:tr>
      <w:tr>
        <w:tc>
          <w:tcPr/>
          <w:p>
            <w:pPr>
              <w:pStyle w:val="Compact"/>
            </w:pPr>
            <w:r>
              <w:t xml:space="preserve">Billings</w:t>
            </w:r>
          </w:p>
        </w:tc>
        <w:tc>
          <w:tcPr/>
          <w:p>
            <w:pPr>
              <w:pStyle w:val="Compact"/>
              <w:jc w:val="right"/>
            </w:pPr>
            <w:r>
              <w:rPr>
                <w:b/>
                <w:bCs/>
              </w:rPr>
              <w:t xml:space="preserve">$2.13B</w:t>
            </w:r>
          </w:p>
        </w:tc>
        <w:tc>
          <w:tcPr/>
          <w:p>
            <w:pPr>
              <w:pStyle w:val="Compact"/>
              <w:jc w:val="right"/>
            </w:pPr>
            <w:r>
              <w:t xml:space="preserve">+20%</w:t>
            </w:r>
          </w:p>
        </w:tc>
        <w:tc>
          <w:tcPr/>
          <w:p>
            <w:pPr>
              <w:pStyle w:val="Compact"/>
              <w:jc w:val="right"/>
            </w:pPr>
            <m:oMath>
              <m:r>
                <m:t>2.09</m:t>
              </m:r>
              <m:r>
                <m:t>B</m:t>
              </m:r>
              <m:r>
                <m:rPr>
                  <m:sty m:val="p"/>
                </m:rPr>
                <m:t>–</m:t>
              </m:r>
            </m:oMath>
            <w:r>
              <w:t xml:space="preserve">2.19B</w:t>
            </w:r>
          </w:p>
        </w:tc>
      </w:tr>
      <w:tr>
        <w:tc>
          <w:tcPr/>
          <w:p>
            <w:pPr>
              <w:pStyle w:val="Compact"/>
            </w:pPr>
            <w:r>
              <w:t xml:space="preserve">Non-GAAP operating margin</w:t>
            </w:r>
          </w:p>
        </w:tc>
        <w:tc>
          <w:tcPr/>
          <w:p>
            <w:pPr>
              <w:pStyle w:val="Compact"/>
              <w:jc w:val="right"/>
            </w:pPr>
            <w:r>
              <w:rPr>
                <w:b/>
                <w:bCs/>
              </w:rPr>
              <w:t xml:space="preserve">~34%</w:t>
            </w:r>
          </w:p>
        </w:tc>
        <w:tc>
          <w:tcPr/>
          <w:p>
            <w:pPr>
              <w:pStyle w:val="Compact"/>
              <w:jc w:val="right"/>
            </w:pPr>
            <w:r>
              <w:t xml:space="preserve">vs. 33.1%</w:t>
            </w:r>
          </w:p>
        </w:tc>
        <w:tc>
          <w:tcPr/>
          <w:p>
            <w:pPr>
              <w:pStyle w:val="Compact"/>
              <w:jc w:val="right"/>
            </w:pPr>
            <w:r>
              <w:t xml:space="preserve">33.0%–35.0%</w:t>
            </w:r>
          </w:p>
        </w:tc>
      </w:tr>
      <w:tr>
        <w:tc>
          <w:tcPr/>
          <w:p>
            <w:pPr>
              <w:pStyle w:val="Compact"/>
            </w:pPr>
            <w:r>
              <w:t xml:space="preserve">Non-GAAP EPS</w:t>
            </w:r>
          </w:p>
        </w:tc>
        <w:tc>
          <w:tcPr/>
          <w:p>
            <w:pPr>
              <w:pStyle w:val="Compact"/>
              <w:jc w:val="right"/>
            </w:pPr>
            <w:r>
              <w:rPr>
                <w:b/>
                <w:bCs/>
              </w:rPr>
              <w:t xml:space="preserve">$0.75</w:t>
            </w:r>
          </w:p>
        </w:tc>
        <w:tc>
          <w:tcPr/>
          <w:p>
            <w:pPr>
              <w:pStyle w:val="Compact"/>
              <w:jc w:val="right"/>
            </w:pPr>
            <w:r>
              <w:t xml:space="preserve">+17%</w:t>
            </w:r>
          </w:p>
        </w:tc>
        <w:tc>
          <w:tcPr/>
          <w:p>
            <w:pPr>
              <w:pStyle w:val="Compact"/>
              <w:jc w:val="right"/>
            </w:pPr>
            <m:oMath>
              <m:r>
                <m:t>0.72</m:t>
              </m:r>
              <m:r>
                <m:rPr>
                  <m:sty m:val="p"/>
                </m:rPr>
                <m:t>–</m:t>
              </m:r>
            </m:oMath>
            <w:r>
              <w:t xml:space="preserve">0.76</w:t>
            </w:r>
          </w:p>
        </w:tc>
      </w:tr>
    </w:tbl>
    <w:p>
      <w:pPr>
        <w:pStyle w:val="BodyText"/>
      </w:pPr>
      <w:r>
        <w:rPr>
          <w:b/>
          <w:bCs/>
        </w:rPr>
        <w:t xml:space="preserve">Takeaway:</w:t>
      </w:r>
      <w:r>
        <w:t xml:space="preserve"> </w:t>
      </w:r>
      <w:r>
        <w:t xml:space="preserve">estimates are near the centers of the company’s ranges—approximately $1.88B revenue, $2.14B billings, and $0.74 EPS at the midpoints. A nominal beat may therefore not be enough; investors will focus on the magnitude of upside and whether management raises full-year expectations again.</w:t>
      </w:r>
    </w:p>
    <w:p>
      <w:pPr>
        <w:pStyle w:val="BodyText"/>
      </w:pPr>
      <w:r>
        <w:t xml:space="preserve">For context, Q2 2025 revenue was</w:t>
      </w:r>
      <w:r>
        <w:t xml:space="preserve"> </w:t>
      </w:r>
      <m:oMath>
        <m:r>
          <m:t>1.63</m:t>
        </m:r>
        <m:r>
          <m:t>B</m:t>
        </m:r>
        <m:r>
          <m:rPr>
            <m:sty m:val="p"/>
          </m:rPr>
          <m:t>*</m:t>
        </m:r>
        <m:r>
          <m:rPr>
            <m:sty m:val="p"/>
          </m:rPr>
          <m:t>*</m:t>
        </m:r>
        <m:r>
          <m:rPr>
            <m:sty m:val="p"/>
          </m:rPr>
          <m:t>,</m:t>
        </m:r>
        <m:r>
          <m:t>b</m:t>
        </m:r>
        <m:r>
          <m:t>i</m:t>
        </m:r>
        <m:r>
          <m:t>l</m:t>
        </m:r>
        <m:r>
          <m:t>l</m:t>
        </m:r>
        <m:r>
          <m:t>i</m:t>
        </m:r>
        <m:r>
          <m:t>n</m:t>
        </m:r>
        <m:r>
          <m:t>g</m:t>
        </m:r>
        <m:r>
          <m:t>s</m:t>
        </m:r>
        <m:r>
          <m:t>w</m:t>
        </m:r>
        <m:r>
          <m:t>e</m:t>
        </m:r>
        <m:r>
          <m:t>r</m:t>
        </m:r>
        <m:r>
          <m:t>e</m:t>
        </m:r>
        <m:r>
          <m:rPr>
            <m:sty m:val="p"/>
          </m:rPr>
          <m:t>*</m:t>
        </m:r>
        <m:r>
          <m:rPr>
            <m:sty m:val="p"/>
          </m:rPr>
          <m:t>*</m:t>
        </m:r>
      </m:oMath>
      <w:r>
        <w:rPr>
          <w:b/>
          <w:bCs/>
        </w:rPr>
        <w:t xml:space="preserve">1.78B</w:t>
      </w:r>
      <w:r>
        <w:t xml:space="preserve">, non-GAAP operating margin was</w:t>
      </w:r>
      <w:r>
        <w:t xml:space="preserve"> </w:t>
      </w:r>
      <w:r>
        <w:rPr>
          <w:b/>
          <w:bCs/>
        </w:rPr>
        <w:t xml:space="preserve">33.1%</w:t>
      </w:r>
      <w:r>
        <w:t xml:space="preserve">, and non-GAAP EPS was</w:t>
      </w:r>
      <w:r>
        <w:t xml:space="preserve"> </w:t>
      </w:r>
      <w:r>
        <w:rPr>
          <w:b/>
          <w:bCs/>
        </w:rPr>
        <w:t xml:space="preserve">$0.64</w:t>
      </w:r>
      <w:r>
        <w:t xml:space="preserve">.</w:t>
      </w:r>
    </w:p>
    <w:p>
      <w:r>
        <w:pict>
          <v:rect style="width:0;height:1.5pt" o:hralign="center" o:hrstd="t" o:hr="t"/>
        </w:pict>
      </w:r>
    </w:p>
    <w:bookmarkEnd w:id="10"/>
    <w:bookmarkStart w:id="14" w:name="why-the-setup-is-strong"/>
    <w:p>
      <w:pPr>
        <w:pStyle w:val="Heading2"/>
      </w:pPr>
      <w:r>
        <w:t xml:space="preserve">Why the setup is strong</w:t>
      </w:r>
    </w:p>
    <w:bookmarkStart w:id="11" w:name="Xf0736b2effdaca0246d8c6968a176ea5b69455c"/>
    <w:p>
      <w:pPr>
        <w:pStyle w:val="Heading3"/>
      </w:pPr>
      <w:r>
        <w:t xml:space="preserve">1. Q1 established a major acceleration in demand</w:t>
      </w:r>
    </w:p>
    <w:p>
      <w:pPr>
        <w:pStyle w:val="FirstParagraph"/>
      </w:pPr>
      <w:r>
        <w:t xml:space="preserve">Fortinet’s Q1 results were unusually strong:</w:t>
      </w:r>
    </w:p>
    <w:p>
      <w:pPr>
        <w:pStyle w:val="Compact"/>
        <w:numPr>
          <w:ilvl w:val="0"/>
          <w:numId w:val="1001"/>
        </w:numPr>
      </w:pPr>
      <w:r>
        <w:rPr>
          <w:b/>
          <w:bCs/>
        </w:rPr>
        <w:t xml:space="preserve">Revenue:</w:t>
      </w:r>
      <w:r>
        <w:t xml:space="preserve"> </w:t>
      </w:r>
      <w:r>
        <w:t xml:space="preserve">$1.85B,</w:t>
      </w:r>
      <w:r>
        <w:t xml:space="preserve"> </w:t>
      </w:r>
      <w:r>
        <w:rPr>
          <w:b/>
          <w:bCs/>
        </w:rPr>
        <w:t xml:space="preserve">+20% YoY</w:t>
      </w:r>
    </w:p>
    <w:p>
      <w:pPr>
        <w:pStyle w:val="Compact"/>
        <w:numPr>
          <w:ilvl w:val="0"/>
          <w:numId w:val="1001"/>
        </w:numPr>
      </w:pPr>
      <w:r>
        <w:rPr>
          <w:b/>
          <w:bCs/>
        </w:rPr>
        <w:t xml:space="preserve">Billings:</w:t>
      </w:r>
      <w:r>
        <w:t xml:space="preserve"> </w:t>
      </w:r>
      <w:r>
        <w:t xml:space="preserve">$2.09B,</w:t>
      </w:r>
      <w:r>
        <w:t xml:space="preserve"> </w:t>
      </w:r>
      <w:r>
        <w:rPr>
          <w:b/>
          <w:bCs/>
        </w:rPr>
        <w:t xml:space="preserve">+31% YoY</w:t>
      </w:r>
    </w:p>
    <w:p>
      <w:pPr>
        <w:pStyle w:val="Compact"/>
        <w:numPr>
          <w:ilvl w:val="0"/>
          <w:numId w:val="1001"/>
        </w:numPr>
      </w:pPr>
      <w:r>
        <w:rPr>
          <w:b/>
          <w:bCs/>
        </w:rPr>
        <w:t xml:space="preserve">Product revenue:</w:t>
      </w:r>
      <w:r>
        <w:t xml:space="preserve"> </w:t>
      </w:r>
      <w:r>
        <w:t xml:space="preserve">$645M,</w:t>
      </w:r>
      <w:r>
        <w:t xml:space="preserve"> </w:t>
      </w:r>
      <w:r>
        <w:rPr>
          <w:b/>
          <w:bCs/>
        </w:rPr>
        <w:t xml:space="preserve">+41% YoY</w:t>
      </w:r>
    </w:p>
    <w:p>
      <w:pPr>
        <w:pStyle w:val="Compact"/>
        <w:numPr>
          <w:ilvl w:val="0"/>
          <w:numId w:val="1001"/>
        </w:numPr>
      </w:pPr>
      <w:r>
        <w:rPr>
          <w:b/>
          <w:bCs/>
        </w:rPr>
        <w:t xml:space="preserve">Service revenue:</w:t>
      </w:r>
      <w:r>
        <w:t xml:space="preserve"> </w:t>
      </w:r>
      <w:r>
        <w:t xml:space="preserve">$1.20B,</w:t>
      </w:r>
      <w:r>
        <w:t xml:space="preserve"> </w:t>
      </w:r>
      <w:r>
        <w:rPr>
          <w:b/>
          <w:bCs/>
        </w:rPr>
        <w:t xml:space="preserve">+11% YoY</w:t>
      </w:r>
    </w:p>
    <w:p>
      <w:pPr>
        <w:pStyle w:val="Compact"/>
        <w:numPr>
          <w:ilvl w:val="0"/>
          <w:numId w:val="1001"/>
        </w:numPr>
      </w:pPr>
      <w:r>
        <w:rPr>
          <w:b/>
          <w:bCs/>
        </w:rPr>
        <w:t xml:space="preserve">Non-GAAP operating margin:</w:t>
      </w:r>
      <w:r>
        <w:t xml:space="preserve"> </w:t>
      </w:r>
      <w:r>
        <w:t xml:space="preserve">35.8%, up 160 bps YoY</w:t>
      </w:r>
    </w:p>
    <w:p>
      <w:pPr>
        <w:pStyle w:val="Compact"/>
        <w:numPr>
          <w:ilvl w:val="0"/>
          <w:numId w:val="1001"/>
        </w:numPr>
      </w:pPr>
      <w:r>
        <w:rPr>
          <w:b/>
          <w:bCs/>
        </w:rPr>
        <w:t xml:space="preserve">Free cash flow:</w:t>
      </w:r>
      <w:r>
        <w:t xml:space="preserve"> </w:t>
      </w:r>
      <w:r>
        <w:t xml:space="preserve">$1.01B, up 27% YoY</w:t>
      </w:r>
    </w:p>
    <w:p>
      <w:pPr>
        <w:pStyle w:val="FirstParagraph"/>
      </w:pPr>
      <w:r>
        <w:t xml:space="preserve">The most notable element was the breadth of the product cycle. Management cited high-performance FortiGate demand, AI-related data-center and internal-segmentation deployments, technology upgrades, upsells, and new use cases. It also said pricing contributed a low-single-digit benefit to product growth.</w:t>
      </w:r>
    </w:p>
    <w:p>
      <w:pPr>
        <w:pStyle w:val="BodyText"/>
      </w:pPr>
      <w:r>
        <w:t xml:space="preserve">For Q2, the primary test is whether the Q1 product surge was a one-quarter event or evidence of a multi-quarter refresh and infrastructure cycle. Continued product strength would support both hardware revenue and a later acceleration in recurring service revenue.</w:t>
      </w:r>
    </w:p>
    <w:bookmarkEnd w:id="11"/>
    <w:bookmarkStart w:id="12" w:name="Xa8c04f707cf2f60d4bec028009dcf0920dc60d7"/>
    <w:p>
      <w:pPr>
        <w:pStyle w:val="Heading3"/>
      </w:pPr>
      <w:r>
        <w:t xml:space="preserve">2. AI is helping FTNT in ways that fit its legacy strengths</w:t>
      </w:r>
    </w:p>
    <w:p>
      <w:pPr>
        <w:pStyle w:val="FirstParagraph"/>
      </w:pPr>
      <w:r>
        <w:t xml:space="preserve">The AI narrative for Fortinet is differentiated from pure-play software-security peers. It is centered on the need to secure AI infrastructure—particularly throughput, segmentation, encrypted-traffic inspection, data-center connectivity, edge deployments, and OT environments.</w:t>
      </w:r>
    </w:p>
    <w:p>
      <w:pPr>
        <w:pStyle w:val="BodyText"/>
      </w:pPr>
      <w:r>
        <w:t xml:space="preserve">Management highlighted in Q1:</w:t>
      </w:r>
    </w:p>
    <w:p>
      <w:pPr>
        <w:pStyle w:val="Compact"/>
        <w:numPr>
          <w:ilvl w:val="0"/>
          <w:numId w:val="1002"/>
        </w:numPr>
      </w:pPr>
      <w:r>
        <w:rPr>
          <w:b/>
          <w:bCs/>
        </w:rPr>
        <w:t xml:space="preserve">Secure networking billings up 32%</w:t>
      </w:r>
    </w:p>
    <w:p>
      <w:pPr>
        <w:pStyle w:val="Compact"/>
        <w:numPr>
          <w:ilvl w:val="0"/>
          <w:numId w:val="1002"/>
        </w:numPr>
      </w:pPr>
      <w:r>
        <w:rPr>
          <w:b/>
          <w:bCs/>
        </w:rPr>
        <w:t xml:space="preserve">OT-security billings up more than 70%</w:t>
      </w:r>
    </w:p>
    <w:p>
      <w:pPr>
        <w:pStyle w:val="Compact"/>
        <w:numPr>
          <w:ilvl w:val="0"/>
          <w:numId w:val="1002"/>
        </w:numPr>
      </w:pPr>
      <w:r>
        <w:rPr>
          <w:b/>
          <w:bCs/>
        </w:rPr>
        <w:t xml:space="preserve">Unified SASE billings up 31%</w:t>
      </w:r>
    </w:p>
    <w:p>
      <w:pPr>
        <w:pStyle w:val="Compact"/>
        <w:numPr>
          <w:ilvl w:val="0"/>
          <w:numId w:val="1002"/>
        </w:numPr>
      </w:pPr>
      <w:r>
        <w:rPr>
          <w:b/>
          <w:bCs/>
        </w:rPr>
        <w:t xml:space="preserve">AI-driven SecOps billings up 23%</w:t>
      </w:r>
    </w:p>
    <w:p>
      <w:pPr>
        <w:pStyle w:val="Compact"/>
        <w:numPr>
          <w:ilvl w:val="0"/>
          <w:numId w:val="1002"/>
        </w:numPr>
      </w:pPr>
      <w:r>
        <w:t xml:space="preserve">Large-enterprise deal count and value for deals above $1M up more than 60%</w:t>
      </w:r>
    </w:p>
    <w:p>
      <w:pPr>
        <w:pStyle w:val="FirstParagraph"/>
      </w:pPr>
      <w:r>
        <w:t xml:space="preserve">FTNT’s core pitch is that its proprietary ASICs and integrated FortiOS platform offer better performance, lower power consumption, and lower total cost of ownership in high-throughput environments. For investors, the key is whether management can show that AI-related wins are translating from early reference architectures into a durable pipeline—and not merely a handful of large projects.</w:t>
      </w:r>
    </w:p>
    <w:bookmarkEnd w:id="12"/>
    <w:bookmarkStart w:id="13" w:name="Xaf8a3ee82392ba5292290389a0f7ad777de82f9"/>
    <w:p>
      <w:pPr>
        <w:pStyle w:val="Heading3"/>
      </w:pPr>
      <w:r>
        <w:t xml:space="preserve">3. Services should be the lagging confirmation signal</w:t>
      </w:r>
    </w:p>
    <w:p>
      <w:pPr>
        <w:pStyle w:val="FirstParagraph"/>
      </w:pPr>
      <w:r>
        <w:t xml:space="preserve">The product-led recovery has already been visible, while services revenue has remained more measured because support and subscription revenue is recognized over contract lives. That is normal for FTNT’s model:</w:t>
      </w:r>
      <w:r>
        <w:t xml:space="preserve"> </w:t>
      </w:r>
      <w:r>
        <w:rPr>
          <w:b/>
          <w:bCs/>
        </w:rPr>
        <w:t xml:space="preserve">90% of Q1 service revenue was already included in deferred revenue at the start of the year.</w:t>
      </w:r>
    </w:p>
    <w:p>
      <w:pPr>
        <w:pStyle w:val="BodyText"/>
      </w:pPr>
      <w:r>
        <w:t xml:space="preserve">Encouraging leading indicators from Q1 included:</w:t>
      </w:r>
    </w:p>
    <w:p>
      <w:pPr>
        <w:pStyle w:val="Compact"/>
        <w:numPr>
          <w:ilvl w:val="0"/>
          <w:numId w:val="1003"/>
        </w:numPr>
      </w:pPr>
      <w:r>
        <w:t xml:space="preserve">Service billings growth reaccelerated to</w:t>
      </w:r>
      <w:r>
        <w:t xml:space="preserve"> </w:t>
      </w:r>
      <w:r>
        <w:rPr>
          <w:b/>
          <w:bCs/>
        </w:rPr>
        <w:t xml:space="preserve">27%</w:t>
      </w:r>
    </w:p>
    <w:p>
      <w:pPr>
        <w:pStyle w:val="Compact"/>
        <w:numPr>
          <w:ilvl w:val="0"/>
          <w:numId w:val="1003"/>
        </w:numPr>
      </w:pPr>
      <w:r>
        <w:t xml:space="preserve">Deferred revenue grew</w:t>
      </w:r>
      <w:r>
        <w:t xml:space="preserve"> </w:t>
      </w:r>
      <w:r>
        <w:rPr>
          <w:b/>
          <w:bCs/>
        </w:rPr>
        <w:t xml:space="preserve">15% YoY</w:t>
      </w:r>
      <w:r>
        <w:t xml:space="preserve"> </w:t>
      </w:r>
      <w:r>
        <w:t xml:space="preserve">to</w:t>
      </w:r>
      <w:r>
        <w:t xml:space="preserve"> </w:t>
      </w:r>
      <w:r>
        <w:rPr>
          <w:b/>
          <w:bCs/>
        </w:rPr>
        <w:t xml:space="preserve">$7.35B</w:t>
      </w:r>
    </w:p>
    <w:p>
      <w:pPr>
        <w:pStyle w:val="Compact"/>
        <w:numPr>
          <w:ilvl w:val="0"/>
          <w:numId w:val="1003"/>
        </w:numPr>
      </w:pPr>
      <w:r>
        <w:t xml:space="preserve">Unified SASE and SecOps adoption continued to build</w:t>
      </w:r>
    </w:p>
    <w:p>
      <w:pPr>
        <w:pStyle w:val="Compact"/>
        <w:numPr>
          <w:ilvl w:val="0"/>
          <w:numId w:val="1003"/>
        </w:numPr>
      </w:pPr>
      <w:r>
        <w:t xml:space="preserve">Management introduced an SD-WAN/SASE services bundle designed to increase adoption and attach rates</w:t>
      </w:r>
    </w:p>
    <w:p>
      <w:pPr>
        <w:pStyle w:val="FirstParagraph"/>
      </w:pPr>
      <w:r>
        <w:t xml:space="preserve">Investors should want to see service-billings strength remain elevated, as that is the best confirmation that the hardware upcycle is creating future recurring revenue rather than only near-term product sales.</w:t>
      </w:r>
    </w:p>
    <w:p>
      <w:r>
        <w:pict>
          <v:rect style="width:0;height:1.5pt" o:hralign="center" o:hrstd="t" o:hr="t"/>
        </w:pict>
      </w:r>
    </w:p>
    <w:bookmarkEnd w:id="13"/>
    <w:bookmarkEnd w:id="14"/>
    <w:bookmarkStart w:id="18" w:name="X666f67ca3db7f68101a69a4f27a755cd6b6007e"/>
    <w:p>
      <w:pPr>
        <w:pStyle w:val="Heading2"/>
      </w:pPr>
      <w:r>
        <w:t xml:space="preserve">The three questions that matter most on the call</w:t>
      </w:r>
    </w:p>
    <w:bookmarkStart w:id="15" w:name="X93c9de69e5344cc6d3e339cae198eef68f6074d"/>
    <w:p>
      <w:pPr>
        <w:pStyle w:val="Heading3"/>
      </w:pPr>
      <w:r>
        <w:t xml:space="preserve">1. Can billings remain at or above the ~20% growth implied by guidance?</w:t>
      </w:r>
    </w:p>
    <w:p>
      <w:pPr>
        <w:pStyle w:val="FirstParagraph"/>
      </w:pPr>
      <w:r>
        <w:t xml:space="preserve">Billings are the central metric. They capture current demand and feed future revenue and cash flow. The market will assess:</w:t>
      </w:r>
    </w:p>
    <w:p>
      <w:pPr>
        <w:pStyle w:val="Compact"/>
        <w:numPr>
          <w:ilvl w:val="0"/>
          <w:numId w:val="1004"/>
        </w:numPr>
      </w:pPr>
      <w:r>
        <w:t xml:space="preserve">Whether billings exceed the</w:t>
      </w:r>
      <w:r>
        <w:t xml:space="preserve"> </w:t>
      </w:r>
      <m:oMath>
        <m:r>
          <m:t>2.09</m:t>
        </m:r>
        <m:r>
          <m:t>B</m:t>
        </m:r>
        <m:r>
          <m:rPr>
            <m:sty m:val="p"/>
          </m:rPr>
          <m:t>–</m:t>
        </m:r>
      </m:oMath>
      <w:r>
        <w:t xml:space="preserve">2.19B range;</w:t>
      </w:r>
    </w:p>
    <w:p>
      <w:pPr>
        <w:pStyle w:val="Compact"/>
        <w:numPr>
          <w:ilvl w:val="0"/>
          <w:numId w:val="1004"/>
        </w:numPr>
      </w:pPr>
      <w:r>
        <w:t xml:space="preserve">The contribution from secure networking, SASE, SecOps, and OT;</w:t>
      </w:r>
    </w:p>
    <w:p>
      <w:pPr>
        <w:pStyle w:val="Compact"/>
        <w:numPr>
          <w:ilvl w:val="0"/>
          <w:numId w:val="1004"/>
        </w:numPr>
      </w:pPr>
      <w:r>
        <w:t xml:space="preserve">Whether large-enterprise demand and AI-related deployments remain broad-based;</w:t>
      </w:r>
    </w:p>
    <w:p>
      <w:pPr>
        <w:pStyle w:val="Compact"/>
        <w:numPr>
          <w:ilvl w:val="0"/>
          <w:numId w:val="1004"/>
        </w:numPr>
      </w:pPr>
      <w:r>
        <w:t xml:space="preserve">Whether management still sees no meaningful customer pull-forward.</w:t>
      </w:r>
    </w:p>
    <w:p>
      <w:pPr>
        <w:pStyle w:val="FirstParagraph"/>
      </w:pPr>
      <w:r>
        <w:t xml:space="preserve">In Q1, management said it did</w:t>
      </w:r>
      <w:r>
        <w:t xml:space="preserve"> </w:t>
      </w:r>
      <w:r>
        <w:rPr>
          <w:b/>
          <w:bCs/>
        </w:rPr>
        <w:t xml:space="preserve">not</w:t>
      </w:r>
      <w:r>
        <w:t xml:space="preserve"> </w:t>
      </w:r>
      <w:r>
        <w:t xml:space="preserve">see material order pull-forward despite memory shortages and pricing actions, and cited controlled channel inventory. Reaffirmation matters: a strong billings result accompanied by signs of elevated channel inventory or accelerated ordering would be judged less favorably.</w:t>
      </w:r>
    </w:p>
    <w:bookmarkEnd w:id="15"/>
    <w:bookmarkStart w:id="16" w:name="Xf2bd5769925d67131b9b7d80755a01c62a16d33"/>
    <w:p>
      <w:pPr>
        <w:pStyle w:val="Heading3"/>
      </w:pPr>
      <w:r>
        <w:t xml:space="preserve">2. Are memory costs and pricing manageable without margin damage?</w:t>
      </w:r>
    </w:p>
    <w:p>
      <w:pPr>
        <w:pStyle w:val="FirstParagraph"/>
      </w:pPr>
      <w:r>
        <w:t xml:space="preserve">A key risk is the global shortage of memory chips used in some Fortinet products. The company has responded with pricing actions intended to preserve—not expand—gross margin. Management has indicated price increases are adjusted as component costs change.</w:t>
      </w:r>
    </w:p>
    <w:p>
      <w:pPr>
        <w:pStyle w:val="BodyText"/>
      </w:pPr>
      <w:r>
        <w:t xml:space="preserve">Watch for commentary on:</w:t>
      </w:r>
    </w:p>
    <w:p>
      <w:pPr>
        <w:pStyle w:val="Compact"/>
        <w:numPr>
          <w:ilvl w:val="0"/>
          <w:numId w:val="1005"/>
        </w:numPr>
      </w:pPr>
      <w:r>
        <w:t xml:space="preserve">Component availability and lead times;</w:t>
      </w:r>
    </w:p>
    <w:p>
      <w:pPr>
        <w:pStyle w:val="Compact"/>
        <w:numPr>
          <w:ilvl w:val="0"/>
          <w:numId w:val="1005"/>
        </w:numPr>
      </w:pPr>
      <w:r>
        <w:t xml:space="preserve">Incremental pricing actions or potential price reductions;</w:t>
      </w:r>
    </w:p>
    <w:p>
      <w:pPr>
        <w:pStyle w:val="Compact"/>
        <w:numPr>
          <w:ilvl w:val="0"/>
          <w:numId w:val="1005"/>
        </w:numPr>
      </w:pPr>
      <w:r>
        <w:t xml:space="preserve">Product gross-margin trends;</w:t>
      </w:r>
    </w:p>
    <w:p>
      <w:pPr>
        <w:pStyle w:val="Compact"/>
        <w:numPr>
          <w:ilvl w:val="0"/>
          <w:numId w:val="1005"/>
        </w:numPr>
      </w:pPr>
      <w:r>
        <w:t xml:space="preserve">Gross-margin outlook for 2H;</w:t>
      </w:r>
    </w:p>
    <w:p>
      <w:pPr>
        <w:pStyle w:val="Compact"/>
        <w:numPr>
          <w:ilvl w:val="0"/>
          <w:numId w:val="1005"/>
        </w:numPr>
      </w:pPr>
      <w:r>
        <w:t xml:space="preserve">Inventory and purchase-commitment discipline.</w:t>
      </w:r>
    </w:p>
    <w:p>
      <w:pPr>
        <w:pStyle w:val="FirstParagraph"/>
      </w:pPr>
      <w:r>
        <w:t xml:space="preserve">This matters because Fortinet’s Q1 product mix shifted higher, which naturally weighs on consolidated gross margin even if product-level economics stay healthy. The company guided Q2 non-GAAP gross margin to</w:t>
      </w:r>
      <w:r>
        <w:t xml:space="preserve"> </w:t>
      </w:r>
      <w:r>
        <w:rPr>
          <w:b/>
          <w:bCs/>
        </w:rPr>
        <w:t xml:space="preserve">79.5%–80.5%</w:t>
      </w:r>
      <w:r>
        <w:t xml:space="preserve">, below Q1’s 81.0%, so results need to show that supply-chain dynamics are contained rather than worsening.</w:t>
      </w:r>
    </w:p>
    <w:bookmarkEnd w:id="16"/>
    <w:bookmarkStart w:id="17" w:name="X8e68b322a040a651b8764e574b644dda4308b2c"/>
    <w:p>
      <w:pPr>
        <w:pStyle w:val="Heading3"/>
      </w:pPr>
      <w:r>
        <w:t xml:space="preserve">3. Does management raise FY26 guidance again?</w:t>
      </w:r>
    </w:p>
    <w:p>
      <w:pPr>
        <w:pStyle w:val="FirstParagraph"/>
      </w:pPr>
      <w:r>
        <w:t xml:space="preserve">After Q1, Fortinet raised its FY26 outlook to:</w:t>
      </w:r>
    </w:p>
    <w:p>
      <w:pPr>
        <w:pStyle w:val="Compact"/>
        <w:numPr>
          <w:ilvl w:val="0"/>
          <w:numId w:val="1006"/>
        </w:numPr>
      </w:pPr>
      <w:r>
        <w:rPr>
          <w:b/>
          <w:bCs/>
        </w:rPr>
        <w:t xml:space="preserve">Revenue:</w:t>
      </w:r>
      <w:r>
        <w:t xml:space="preserve"> </w:t>
      </w:r>
      <m:oMath>
        <m:r>
          <m:t>7.71</m:t>
        </m:r>
        <m:r>
          <m:t>B</m:t>
        </m:r>
        <m:r>
          <m:rPr>
            <m:sty m:val="p"/>
          </m:rPr>
          <m:t>–</m:t>
        </m:r>
      </m:oMath>
      <w:r>
        <w:t xml:space="preserve">7.87B</w:t>
      </w:r>
    </w:p>
    <w:p>
      <w:pPr>
        <w:pStyle w:val="Compact"/>
        <w:numPr>
          <w:ilvl w:val="0"/>
          <w:numId w:val="1006"/>
        </w:numPr>
      </w:pPr>
      <w:r>
        <w:rPr>
          <w:b/>
          <w:bCs/>
        </w:rPr>
        <w:t xml:space="preserve">Service revenue:</w:t>
      </w:r>
      <w:r>
        <w:t xml:space="preserve"> </w:t>
      </w:r>
      <m:oMath>
        <m:r>
          <m:t>5.09</m:t>
        </m:r>
        <m:r>
          <m:t>B</m:t>
        </m:r>
        <m:r>
          <m:rPr>
            <m:sty m:val="p"/>
          </m:rPr>
          <m:t>–</m:t>
        </m:r>
      </m:oMath>
      <w:r>
        <w:t xml:space="preserve">5.15B</w:t>
      </w:r>
    </w:p>
    <w:p>
      <w:pPr>
        <w:pStyle w:val="Compact"/>
        <w:numPr>
          <w:ilvl w:val="0"/>
          <w:numId w:val="1006"/>
        </w:numPr>
      </w:pPr>
      <w:r>
        <w:rPr>
          <w:b/>
          <w:bCs/>
        </w:rPr>
        <w:t xml:space="preserve">Billings:</w:t>
      </w:r>
      <w:r>
        <w:t xml:space="preserve"> </w:t>
      </w:r>
      <m:oMath>
        <m:r>
          <m:t>8.80</m:t>
        </m:r>
        <m:r>
          <m:t>B</m:t>
        </m:r>
        <m:r>
          <m:rPr>
            <m:sty m:val="p"/>
          </m:rPr>
          <m:t>–</m:t>
        </m:r>
      </m:oMath>
      <w:r>
        <w:t xml:space="preserve">9.10B</w:t>
      </w:r>
    </w:p>
    <w:p>
      <w:pPr>
        <w:pStyle w:val="Compact"/>
        <w:numPr>
          <w:ilvl w:val="0"/>
          <w:numId w:val="1006"/>
        </w:numPr>
      </w:pPr>
      <w:r>
        <w:rPr>
          <w:b/>
          <w:bCs/>
        </w:rPr>
        <w:t xml:space="preserve">Non-GAAP operating margin:</w:t>
      </w:r>
      <w:r>
        <w:t xml:space="preserve"> </w:t>
      </w:r>
      <w:r>
        <w:t xml:space="preserve">33.0%–36.0%</w:t>
      </w:r>
    </w:p>
    <w:p>
      <w:pPr>
        <w:pStyle w:val="Compact"/>
        <w:numPr>
          <w:ilvl w:val="0"/>
          <w:numId w:val="1006"/>
        </w:numPr>
      </w:pPr>
      <w:r>
        <w:rPr>
          <w:b/>
          <w:bCs/>
        </w:rPr>
        <w:t xml:space="preserve">Non-GAAP EPS:</w:t>
      </w:r>
      <w:r>
        <w:t xml:space="preserve"> </w:t>
      </w:r>
      <m:oMath>
        <m:r>
          <m:t>3.10</m:t>
        </m:r>
        <m:r>
          <m:rPr>
            <m:sty m:val="p"/>
          </m:rPr>
          <m:t>–</m:t>
        </m:r>
      </m:oMath>
      <w:r>
        <w:t xml:space="preserve">3.16</w:t>
      </w:r>
    </w:p>
    <w:p>
      <w:pPr>
        <w:pStyle w:val="FirstParagraph"/>
      </w:pPr>
      <w:r>
        <w:t xml:space="preserve">The full-year revenue range implies meaningful second-half growth relative to the expected first-half run rate. A raise—especially to billings and revenue—would reinforce the view that Q1 was not temporary. Conversely, merely reiterating the guide after a modest Q2 beat could prompt debate about whether the AI/data-center opportunity is already fully reflected in current expectations.</w:t>
      </w:r>
    </w:p>
    <w:p>
      <w:r>
        <w:pict>
          <v:rect style="width:0;height:1.5pt" o:hralign="center" o:hrstd="t" o:hr="t"/>
        </w:pict>
      </w:r>
    </w:p>
    <w:bookmarkEnd w:id="17"/>
    <w:bookmarkEnd w:id="18"/>
    <w:bookmarkStart w:id="19" w:name="bull-case"/>
    <w:p>
      <w:pPr>
        <w:pStyle w:val="Heading2"/>
      </w:pPr>
      <w:r>
        <w:t xml:space="preserve">Bull case</w:t>
      </w:r>
    </w:p>
    <w:p>
      <w:pPr>
        <w:pStyle w:val="FirstParagraph"/>
      </w:pPr>
      <w:r>
        <w:t xml:space="preserve">A bullish result would likely include:</w:t>
      </w:r>
    </w:p>
    <w:p>
      <w:pPr>
        <w:pStyle w:val="Compact"/>
        <w:numPr>
          <w:ilvl w:val="0"/>
          <w:numId w:val="1007"/>
        </w:numPr>
      </w:pPr>
      <w:r>
        <w:rPr>
          <w:b/>
          <w:bCs/>
        </w:rPr>
        <w:t xml:space="preserve">Revenue, billings, and EPS above the high end</w:t>
      </w:r>
      <w:r>
        <w:t xml:space="preserve"> </w:t>
      </w:r>
      <w:r>
        <w:t xml:space="preserve">of guidance;</w:t>
      </w:r>
    </w:p>
    <w:p>
      <w:pPr>
        <w:pStyle w:val="Compact"/>
        <w:numPr>
          <w:ilvl w:val="0"/>
          <w:numId w:val="1007"/>
        </w:numPr>
      </w:pPr>
      <w:r>
        <w:t xml:space="preserve">Billings growth sustaining at</w:t>
      </w:r>
      <w:r>
        <w:t xml:space="preserve"> </w:t>
      </w:r>
      <w:r>
        <w:rPr>
          <w:b/>
          <w:bCs/>
        </w:rPr>
        <w:t xml:space="preserve">20%+</w:t>
      </w:r>
      <w:r>
        <w:t xml:space="preserve">, with broad strength rather than one or two large data-center deals;</w:t>
      </w:r>
    </w:p>
    <w:p>
      <w:pPr>
        <w:pStyle w:val="Compact"/>
        <w:numPr>
          <w:ilvl w:val="0"/>
          <w:numId w:val="1007"/>
        </w:numPr>
      </w:pPr>
      <w:r>
        <w:t xml:space="preserve">Continued double-digit-plus product growth, driven by high-end FortiGate, AI infrastructure, refresh activity, and OT;</w:t>
      </w:r>
    </w:p>
    <w:p>
      <w:pPr>
        <w:pStyle w:val="Compact"/>
        <w:numPr>
          <w:ilvl w:val="0"/>
          <w:numId w:val="1007"/>
        </w:numPr>
      </w:pPr>
      <w:r>
        <w:t xml:space="preserve">Service-billings and deferred-revenue growth remaining strong, supporting future recurring-revenue acceleration;</w:t>
      </w:r>
    </w:p>
    <w:p>
      <w:pPr>
        <w:pStyle w:val="Compact"/>
        <w:numPr>
          <w:ilvl w:val="0"/>
          <w:numId w:val="1007"/>
        </w:numPr>
      </w:pPr>
      <w:r>
        <w:t xml:space="preserve">Stable gross margins despite memory inflation and pricing actions;</w:t>
      </w:r>
    </w:p>
    <w:p>
      <w:pPr>
        <w:pStyle w:val="Compact"/>
        <w:numPr>
          <w:ilvl w:val="0"/>
          <w:numId w:val="1007"/>
        </w:numPr>
      </w:pPr>
      <w:r>
        <w:t xml:space="preserve">A meaningful FY26 outlook increase, particularly for billings and revenue.</w:t>
      </w:r>
    </w:p>
    <w:p>
      <w:pPr>
        <w:pStyle w:val="FirstParagraph"/>
      </w:pPr>
      <w:r>
        <w:t xml:space="preserve">This would support the argument that FTNT is gaining share through a hardware-plus-platform cycle, with ASIC differentiation becoming more valuable as AI raises security throughput requirements.</w:t>
      </w:r>
    </w:p>
    <w:p>
      <w:r>
        <w:pict>
          <v:rect style="width:0;height:1.5pt" o:hralign="center" o:hrstd="t" o:hr="t"/>
        </w:pict>
      </w:r>
    </w:p>
    <w:bookmarkEnd w:id="19"/>
    <w:bookmarkStart w:id="20" w:name="bear-case"/>
    <w:p>
      <w:pPr>
        <w:pStyle w:val="Heading2"/>
      </w:pPr>
      <w:r>
        <w:t xml:space="preserve">Bear case</w:t>
      </w:r>
    </w:p>
    <w:p>
      <w:pPr>
        <w:pStyle w:val="FirstParagraph"/>
      </w:pPr>
      <w:r>
        <w:t xml:space="preserve">The downside scenario is less about missing headline Q2 revenue and more about doubts on durability:</w:t>
      </w:r>
    </w:p>
    <w:p>
      <w:pPr>
        <w:pStyle w:val="Compact"/>
        <w:numPr>
          <w:ilvl w:val="0"/>
          <w:numId w:val="1008"/>
        </w:numPr>
      </w:pPr>
      <w:r>
        <w:t xml:space="preserve">Billings only meet the midpoint or decelerate meaningfully from Q1;</w:t>
      </w:r>
    </w:p>
    <w:p>
      <w:pPr>
        <w:pStyle w:val="Compact"/>
        <w:numPr>
          <w:ilvl w:val="0"/>
          <w:numId w:val="1008"/>
        </w:numPr>
      </w:pPr>
      <w:r>
        <w:t xml:space="preserve">Product momentum fades, suggesting the Q1 acceleration was largely timing, pricing, or a narrow group of AI projects;</w:t>
      </w:r>
    </w:p>
    <w:p>
      <w:pPr>
        <w:pStyle w:val="Compact"/>
        <w:numPr>
          <w:ilvl w:val="0"/>
          <w:numId w:val="1008"/>
        </w:numPr>
      </w:pPr>
      <w:r>
        <w:t xml:space="preserve">Memory costs pressure gross margin more than expected;</w:t>
      </w:r>
    </w:p>
    <w:p>
      <w:pPr>
        <w:pStyle w:val="Compact"/>
        <w:numPr>
          <w:ilvl w:val="0"/>
          <w:numId w:val="1008"/>
        </w:numPr>
      </w:pPr>
      <w:r>
        <w:t xml:space="preserve">Increased supply commitments raise concerns about potential inventory risk if demand moderates;</w:t>
      </w:r>
    </w:p>
    <w:p>
      <w:pPr>
        <w:pStyle w:val="Compact"/>
        <w:numPr>
          <w:ilvl w:val="0"/>
          <w:numId w:val="1008"/>
        </w:numPr>
      </w:pPr>
      <w:r>
        <w:t xml:space="preserve">Management points to slower large-enterprise deal closures, elongating sales cycles, or softer ordering after pricing actions;</w:t>
      </w:r>
    </w:p>
    <w:p>
      <w:pPr>
        <w:pStyle w:val="Compact"/>
        <w:numPr>
          <w:ilvl w:val="0"/>
          <w:numId w:val="1008"/>
        </w:numPr>
      </w:pPr>
      <w:r>
        <w:t xml:space="preserve">Full-year guidance is maintained despite a Q2 beat, suggesting a more cautious second-half outlook.</w:t>
      </w:r>
    </w:p>
    <w:p>
      <w:pPr>
        <w:pStyle w:val="FirstParagraph"/>
      </w:pPr>
      <w:r>
        <w:t xml:space="preserve">The stock’s sharp run into earnings increases the risk that a “good but not exceptional” report is insufficient.</w:t>
      </w:r>
    </w:p>
    <w:p>
      <w:r>
        <w:pict>
          <v:rect style="width:0;height:1.5pt" o:hralign="center" o:hrstd="t" o:hr="t"/>
        </w:pict>
      </w:r>
    </w:p>
    <w:bookmarkEnd w:id="20"/>
    <w:bookmarkStart w:id="21" w:name="additional-items-to-monitor"/>
    <w:p>
      <w:pPr>
        <w:pStyle w:val="Heading2"/>
      </w:pPr>
      <w:r>
        <w:t xml:space="preserve">Additional items to monitor</w:t>
      </w:r>
    </w:p>
    <w:p>
      <w:pPr>
        <w:pStyle w:val="Compact"/>
        <w:numPr>
          <w:ilvl w:val="0"/>
          <w:numId w:val="1009"/>
        </w:numPr>
      </w:pPr>
      <w:r>
        <w:rPr>
          <w:b/>
          <w:bCs/>
        </w:rPr>
        <w:t xml:space="preserve">AI data-center pipeline:</w:t>
      </w:r>
      <w:r>
        <w:t xml:space="preserve"> </w:t>
      </w:r>
      <w:r>
        <w:t xml:space="preserve">Size, conversion timelines, mix of new deployments versus existing-customer expansion, and sustainability beyond early projects.</w:t>
      </w:r>
    </w:p>
    <w:p>
      <w:pPr>
        <w:pStyle w:val="Compact"/>
        <w:numPr>
          <w:ilvl w:val="0"/>
          <w:numId w:val="1009"/>
        </w:numPr>
      </w:pPr>
      <w:r>
        <w:rPr>
          <w:b/>
          <w:bCs/>
        </w:rPr>
        <w:t xml:space="preserve">OT security:</w:t>
      </w:r>
      <w:r>
        <w:t xml:space="preserve"> </w:t>
      </w:r>
      <w:r>
        <w:t xml:space="preserve">Q1’s 70%+ billings growth is unlikely to be a long-term steady-state rate, but continued outsized growth would be important validation.</w:t>
      </w:r>
    </w:p>
    <w:p>
      <w:pPr>
        <w:pStyle w:val="Compact"/>
        <w:numPr>
          <w:ilvl w:val="0"/>
          <w:numId w:val="1009"/>
        </w:numPr>
      </w:pPr>
      <w:r>
        <w:rPr>
          <w:b/>
          <w:bCs/>
        </w:rPr>
        <w:t xml:space="preserve">Sovereign SASE:</w:t>
      </w:r>
      <w:r>
        <w:t xml:space="preserve"> </w:t>
      </w:r>
      <w:r>
        <w:t xml:space="preserve">Management has positioned sovereign/private SASE as a differentiation, especially in Europe and regulated use cases. Evidence of material deployments or service-provider adoption would improve the mix narrative.</w:t>
      </w:r>
    </w:p>
    <w:p>
      <w:pPr>
        <w:pStyle w:val="Compact"/>
        <w:numPr>
          <w:ilvl w:val="0"/>
          <w:numId w:val="1009"/>
        </w:numPr>
      </w:pPr>
      <w:r>
        <w:rPr>
          <w:b/>
          <w:bCs/>
        </w:rPr>
        <w:t xml:space="preserve">SP6 ASIC roadmap:</w:t>
      </w:r>
      <w:r>
        <w:t xml:space="preserve"> </w:t>
      </w:r>
      <w:r>
        <w:t xml:space="preserve">Fortinet announced on July 21 that Intel Foundry will manufacture its next-generation security chip, SP6, on Intel 4. Investors will likely look for timing, supply-chain, performance, and commercialization commentary.</w:t>
      </w:r>
    </w:p>
    <w:p>
      <w:pPr>
        <w:pStyle w:val="Compact"/>
        <w:numPr>
          <w:ilvl w:val="0"/>
          <w:numId w:val="1009"/>
        </w:numPr>
      </w:pPr>
      <w:r>
        <w:rPr>
          <w:b/>
          <w:bCs/>
        </w:rPr>
        <w:t xml:space="preserve">Capital allocation:</w:t>
      </w:r>
      <w:r>
        <w:t xml:space="preserve"> </w:t>
      </w:r>
      <w:r>
        <w:t xml:space="preserve">FTNT repurchased $827M of stock in Q1 and had roughly $766M remaining under authorization as of the Q1 call. With strong cash generation, buyback activity remains a potential EPS tailwind.</w:t>
      </w:r>
    </w:p>
    <w:p>
      <w:pPr>
        <w:pStyle w:val="Compact"/>
        <w:numPr>
          <w:ilvl w:val="0"/>
          <w:numId w:val="1009"/>
        </w:numPr>
      </w:pPr>
      <w:r>
        <w:rPr>
          <w:b/>
          <w:bCs/>
        </w:rPr>
        <w:t xml:space="preserve">Security vulnerabilities and reputation:</w:t>
      </w:r>
      <w:r>
        <w:t xml:space="preserve"> </w:t>
      </w:r>
      <w:r>
        <w:t xml:space="preserve">As a security vendor, product vulnerabilities can carry outsized reputational risk. Any updates on remediation, customer impact, or demand effects deserve attention.</w:t>
      </w:r>
    </w:p>
    <w:p>
      <w:r>
        <w:pict>
          <v:rect style="width:0;height:1.5pt" o:hralign="center" o:hrstd="t" o:hr="t"/>
        </w:pict>
      </w:r>
    </w:p>
    <w:bookmarkEnd w:id="21"/>
    <w:bookmarkStart w:id="22" w:name="bottom-line"/>
    <w:p>
      <w:pPr>
        <w:pStyle w:val="Heading2"/>
      </w:pPr>
      <w:r>
        <w:t xml:space="preserve">Bottom line</w:t>
      </w:r>
    </w:p>
    <w:p>
      <w:pPr>
        <w:pStyle w:val="FirstParagraph"/>
      </w:pPr>
      <w:r>
        <w:rPr>
          <w:b/>
          <w:bCs/>
        </w:rPr>
        <w:t xml:space="preserve">FTNT enters Q2 as one of the stronger operational stories in cybersecurity, but with elevated expectations embedded in the share price.</w:t>
      </w:r>
      <w:r>
        <w:t xml:space="preserve"> </w:t>
      </w:r>
      <w:r>
        <w:t xml:space="preserve">The central debate is whether the Q1 acceleration in secure networking and AI-related infrastructure demand represents a durable market-share opportunity or a period of unusually favorable product-cycle and supply-chain dynamics.</w:t>
      </w:r>
    </w:p>
    <w:p>
      <w:pPr>
        <w:pStyle w:val="BodyText"/>
      </w:pPr>
      <w:r>
        <w:t xml:space="preserve">The best evidence for the bull case would be a high-end billings beat, continued strong product demand without channel pull-forward, controlled margins despite memory costs, and another FY26 guide raise. A result that simply meets guidance would still reflect solid execution—but may not be enough to satisfy investors after the stock’s substantial rally.</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2026-07-29T01:23:31Z</dcterms:created>
  <dcterms:modified xsi:type="dcterms:W3CDTF">2026-07-29T01:23:31Z</dcterms:modified>
</cp:coreProperties>
</file>

<file path=docProps/custom.xml><?xml version="1.0" encoding="utf-8"?>
<Properties xmlns="http://schemas.openxmlformats.org/officeDocument/2006/custom-properties" xmlns:vt="http://schemas.openxmlformats.org/officeDocument/2006/docPropsVTypes"/>
</file>