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Fortinet, Inc. (FTNT)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Fortinet, Inc.</w:t>
            </w:r>
          </w:p>
        </w:tc>
      </w:tr>
      <w:tr>
        <w:tc>
          <w:tcPr>
            <w:tcW w:type="dxa" w:w="4320"/>
          </w:tcPr>
          <w:p>
            <w:r>
              <w:rPr>
                <w:rFonts w:ascii="Calibri" w:hAnsi="Calibri"/>
                <w:b/>
                <w:sz w:val="22"/>
              </w:rPr>
              <w:t>Ticker</w:t>
            </w:r>
          </w:p>
        </w:tc>
        <w:tc>
          <w:tcPr>
            <w:tcW w:type="dxa" w:w="4320"/>
          </w:tcPr>
          <w:p>
            <w:r>
              <w:rPr>
                <w:rFonts w:ascii="Calibri" w:hAnsi="Calibri"/>
                <w:sz w:val="22"/>
              </w:rPr>
              <w:t>NASDAQ: FTNT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After Market Close</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BUG (Global X Cybersecurity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skews to beat — consensus is a manageable bar after Q1’s exceptional outperformance, and channel checks (TD Cowen raised billings estimate to $2.23B vs. guidance midpoint of $2.14B) suggest Q2 is tracking ahead; the single biggest swing factor is whether </w:t>
      </w:r>
      <w:r>
        <w:rPr>
          <w:rFonts w:ascii="Calibri" w:hAnsi="Calibri"/>
          <w:b/>
          <w:color w:val="525866"/>
          <w:sz w:val="22"/>
        </w:rPr>
        <w:t>product revenue sustains its AI data-center-driven momentum</w:t>
      </w:r>
      <w:r>
        <w:rPr>
          <w:rFonts w:ascii="Calibri" w:hAnsi="Calibri"/>
          <w:color w:val="525866"/>
          <w:sz w:val="22"/>
        </w:rPr>
        <w:t xml:space="preserve"> or shows any deceleration that would reignite pull-forward concerns.</w:t>
      </w:r>
    </w:p>
    <w:p>
      <w:r>
        <w:rPr>
          <w:rFonts w:ascii="Calibri" w:hAnsi="Calibri"/>
          <w:color w:val="525866"/>
          <w:sz w:val="22"/>
        </w:rPr>
        <w:t xml:space="preserve">Heading into Q2 2026, Fortinet’s setup is constructively bullish: consensus billings of ~$2.14B implies ~20% YoY growth, squarely in line with the guidance midpoint management provided on the Q1 call, leaving room for the company to beat as it has done in each of the last eight quarters. Management’s tone on the Q1 call was notably confident — they raised full-year guidance across all top-line metrics, explicitly called out a record Q2 pipeline, and characterized AI data-center demand as a multi-quarter structural cycle rather than a one-time event. Estimate revisions have been modestly positive since the Q1 print, with TD Cowen’s channel-check-driven raise (billings to $2.23B, product revenue to $675M) suggesting the street may still be underestimating product strength. The stock has surged ~67% since the Q1 earnings date (May 6), meaningfully outperforming BUG (+34%) and the S&amp;P 500 (+1%), pricing in a high-quality business re-rating; at ~52x EV/FY27 FCF (TD Cowen’s new multiple), the stock is not cheap, meaning any miss or guidance cut would be punished severely. The key wildcard is </w:t>
      </w:r>
      <w:r>
        <w:rPr>
          <w:rFonts w:ascii="Calibri" w:hAnsi="Calibri"/>
          <w:b/>
          <w:color w:val="525866"/>
          <w:sz w:val="22"/>
        </w:rPr>
        <w:t>service revenue trajectory</w:t>
      </w:r>
      <w:r>
        <w:rPr>
          <w:rFonts w:ascii="Calibri" w:hAnsi="Calibri"/>
          <w:color w:val="525866"/>
          <w:sz w:val="22"/>
        </w:rPr>
        <w:t>: consensus expects ~$1.25B in Q2 service revenue, and any sign that the H2 2026 inflection thesis is on track — or at risk — will be the dominant narrative on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 billings guidance midpoint of $2.14B is essentially in line with current consensus ($2.14B), leaving room for upside if AI data-center demand continues. </w:t>
      </w:r>
      <w:r>
        <w:rPr>
          <w:rFonts w:ascii="Calibri" w:hAnsi="Calibri"/>
          <w:b/>
          <w:color w:val="525866"/>
          <w:sz w:val="22"/>
        </w:rPr>
        <w:t>Product revenue is the bigger swing factor</w:t>
      </w:r>
      <w:r>
        <w:rPr>
          <w:rFonts w:ascii="Calibri" w:hAnsi="Calibri"/>
          <w:color w:val="525866"/>
          <w:sz w:val="22"/>
        </w:rPr>
        <w:t>: Q1 came in at $645M vs. ~$534M consensus; a repeat of that magnitude of beat would be the single biggest driver of a positive stock reaction.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Billings ($M)</w:t>
            </w:r>
          </w:p>
        </w:tc>
        <w:tc>
          <w:tcPr>
            <w:tcW w:type="dxa" w:w="1234"/>
          </w:tcPr>
          <w:p>
            <w:r>
              <w:rPr>
                <w:rFonts w:ascii="Calibri" w:hAnsi="Calibri"/>
                <w:sz w:val="22"/>
              </w:rPr>
              <w:t>$2,085</w:t>
            </w:r>
          </w:p>
        </w:tc>
        <w:tc>
          <w:tcPr>
            <w:tcW w:type="dxa" w:w="1234"/>
          </w:tcPr>
          <w:p>
            <w:r>
              <w:rPr>
                <w:rFonts w:ascii="Calibri" w:hAnsi="Calibri"/>
                <w:sz w:val="22"/>
              </w:rPr>
              <w:t>$1,778</w:t>
            </w:r>
          </w:p>
        </w:tc>
        <w:tc>
          <w:tcPr>
            <w:tcW w:type="dxa" w:w="1234"/>
          </w:tcPr>
          <w:p>
            <w:r>
              <w:rPr>
                <w:rFonts w:ascii="Calibri" w:hAnsi="Calibri"/>
                <w:sz w:val="22"/>
              </w:rPr>
              <w:t>$2,142</w:t>
            </w:r>
          </w:p>
        </w:tc>
        <w:tc>
          <w:tcPr>
            <w:tcW w:type="dxa" w:w="1234"/>
          </w:tcPr>
          <w:p>
            <w:r>
              <w:rPr>
                <w:rFonts w:ascii="Calibri" w:hAnsi="Calibri"/>
                <w:sz w:val="22"/>
              </w:rPr>
              <w:t>+20.5%</w:t>
            </w:r>
          </w:p>
        </w:tc>
        <w:tc>
          <w:tcPr>
            <w:tcW w:type="dxa" w:w="1234"/>
          </w:tcPr>
          <w:p>
            <w:r>
              <w:rPr>
                <w:rFonts w:ascii="Calibri" w:hAnsi="Calibri"/>
                <w:sz w:val="22"/>
              </w:rPr>
              <w:t>$2,140</w:t>
            </w:r>
          </w:p>
        </w:tc>
        <w:tc>
          <w:tcPr>
            <w:tcW w:type="dxa" w:w="1234"/>
          </w:tcPr>
          <w:p>
            <w:r>
              <w:rPr>
                <w:rFonts w:ascii="Calibri" w:hAnsi="Calibri"/>
                <w:sz w:val="22"/>
              </w:rPr>
              <w:t>+0.1%</w:t>
            </w:r>
          </w:p>
        </w:tc>
      </w:tr>
      <w:tr>
        <w:tc>
          <w:tcPr>
            <w:tcW w:type="dxa" w:w="1234"/>
          </w:tcPr>
          <w:p>
            <w:r>
              <w:rPr>
                <w:rFonts w:ascii="Calibri" w:hAnsi="Calibri"/>
                <w:sz w:val="22"/>
              </w:rPr>
              <w:t>Total Revenue ($M)</w:t>
            </w:r>
          </w:p>
        </w:tc>
        <w:tc>
          <w:tcPr>
            <w:tcW w:type="dxa" w:w="1234"/>
          </w:tcPr>
          <w:p>
            <w:r>
              <w:rPr>
                <w:rFonts w:ascii="Calibri" w:hAnsi="Calibri"/>
                <w:sz w:val="22"/>
              </w:rPr>
              <w:t>$1,850</w:t>
            </w:r>
          </w:p>
        </w:tc>
        <w:tc>
          <w:tcPr>
            <w:tcW w:type="dxa" w:w="1234"/>
          </w:tcPr>
          <w:p>
            <w:r>
              <w:rPr>
                <w:rFonts w:ascii="Calibri" w:hAnsi="Calibri"/>
                <w:sz w:val="22"/>
              </w:rPr>
              <w:t>$1,630</w:t>
            </w:r>
          </w:p>
        </w:tc>
        <w:tc>
          <w:tcPr>
            <w:tcW w:type="dxa" w:w="1234"/>
          </w:tcPr>
          <w:p>
            <w:r>
              <w:rPr>
                <w:rFonts w:ascii="Calibri" w:hAnsi="Calibri"/>
                <w:sz w:val="22"/>
              </w:rPr>
              <w:t>$1,888</w:t>
            </w:r>
          </w:p>
        </w:tc>
        <w:tc>
          <w:tcPr>
            <w:tcW w:type="dxa" w:w="1234"/>
          </w:tcPr>
          <w:p>
            <w:r>
              <w:rPr>
                <w:rFonts w:ascii="Calibri" w:hAnsi="Calibri"/>
                <w:sz w:val="22"/>
              </w:rPr>
              <w:t>+15.8%</w:t>
            </w:r>
          </w:p>
        </w:tc>
        <w:tc>
          <w:tcPr>
            <w:tcW w:type="dxa" w:w="1234"/>
          </w:tcPr>
          <w:p>
            <w:r>
              <w:rPr>
                <w:rFonts w:ascii="Calibri" w:hAnsi="Calibri"/>
                <w:sz w:val="22"/>
              </w:rPr>
              <w:t>$1,880</w:t>
            </w:r>
          </w:p>
        </w:tc>
        <w:tc>
          <w:tcPr>
            <w:tcW w:type="dxa" w:w="1234"/>
          </w:tcPr>
          <w:p>
            <w:r>
              <w:rPr>
                <w:rFonts w:ascii="Calibri" w:hAnsi="Calibri"/>
                <w:sz w:val="22"/>
              </w:rPr>
              <w:t>+0.4%</w:t>
            </w:r>
          </w:p>
        </w:tc>
      </w:tr>
      <w:tr>
        <w:tc>
          <w:tcPr>
            <w:tcW w:type="dxa" w:w="1234"/>
          </w:tcPr>
          <w:p>
            <w:r>
              <w:rPr>
                <w:rFonts w:ascii="Calibri" w:hAnsi="Calibri"/>
                <w:sz w:val="22"/>
              </w:rPr>
              <w:t>Product Revenue ($M)</w:t>
            </w:r>
          </w:p>
        </w:tc>
        <w:tc>
          <w:tcPr>
            <w:tcW w:type="dxa" w:w="1234"/>
          </w:tcPr>
          <w:p>
            <w:r>
              <w:rPr>
                <w:rFonts w:ascii="Calibri" w:hAnsi="Calibri"/>
                <w:sz w:val="22"/>
              </w:rPr>
              <w:t>$645</w:t>
            </w:r>
          </w:p>
        </w:tc>
        <w:tc>
          <w:tcPr>
            <w:tcW w:type="dxa" w:w="1234"/>
          </w:tcPr>
          <w:p>
            <w:r>
              <w:rPr>
                <w:rFonts w:ascii="Calibri" w:hAnsi="Calibri"/>
                <w:sz w:val="22"/>
              </w:rPr>
              <w:t>$509</w:t>
            </w:r>
          </w:p>
        </w:tc>
        <w:tc>
          <w:tcPr>
            <w:tcW w:type="dxa" w:w="1234"/>
          </w:tcPr>
          <w:p>
            <w:r>
              <w:rPr>
                <w:rFonts w:ascii="Calibri" w:hAnsi="Calibri"/>
                <w:sz w:val="22"/>
              </w:rPr>
              <w:t>$639</w:t>
            </w:r>
          </w:p>
        </w:tc>
        <w:tc>
          <w:tcPr>
            <w:tcW w:type="dxa" w:w="1234"/>
          </w:tcPr>
          <w:p>
            <w:r>
              <w:rPr>
                <w:rFonts w:ascii="Calibri" w:hAnsi="Calibri"/>
                <w:sz w:val="22"/>
              </w:rPr>
              <w:t>+25.5%</w:t>
            </w:r>
          </w:p>
        </w:tc>
        <w:tc>
          <w:tcPr>
            <w:tcW w:type="dxa" w:w="1234"/>
          </w:tcPr>
          <w:p>
            <w:r>
              <w:rPr>
                <w:rFonts w:ascii="Calibri" w:hAnsi="Calibri"/>
                <w:sz w:val="22"/>
              </w:rPr>
              <w:t>N/A (implied)</w:t>
            </w:r>
          </w:p>
        </w:tc>
        <w:tc>
          <w:tcPr>
            <w:tcW w:type="dxa" w:w="1234"/>
          </w:tcPr>
          <w:p>
            <w:r>
              <w:rPr>
                <w:rFonts w:ascii="Calibri" w:hAnsi="Calibri"/>
                <w:sz w:val="22"/>
              </w:rPr>
              <w:t>N/A</w:t>
            </w:r>
          </w:p>
        </w:tc>
      </w:tr>
      <w:tr>
        <w:tc>
          <w:tcPr>
            <w:tcW w:type="dxa" w:w="1234"/>
          </w:tcPr>
          <w:p>
            <w:r>
              <w:rPr>
                <w:rFonts w:ascii="Calibri" w:hAnsi="Calibri"/>
                <w:sz w:val="22"/>
              </w:rPr>
              <w:t>Service Revenue ($M)</w:t>
            </w:r>
          </w:p>
        </w:tc>
        <w:tc>
          <w:tcPr>
            <w:tcW w:type="dxa" w:w="1234"/>
          </w:tcPr>
          <w:p>
            <w:r>
              <w:rPr>
                <w:rFonts w:ascii="Calibri" w:hAnsi="Calibri"/>
                <w:sz w:val="22"/>
              </w:rPr>
              <w:t>$1,205</w:t>
            </w:r>
          </w:p>
        </w:tc>
        <w:tc>
          <w:tcPr>
            <w:tcW w:type="dxa" w:w="1234"/>
          </w:tcPr>
          <w:p>
            <w:r>
              <w:rPr>
                <w:rFonts w:ascii="Calibri" w:hAnsi="Calibri"/>
                <w:sz w:val="22"/>
              </w:rPr>
              <w:t>$1,121</w:t>
            </w:r>
          </w:p>
        </w:tc>
        <w:tc>
          <w:tcPr>
            <w:tcW w:type="dxa" w:w="1234"/>
          </w:tcPr>
          <w:p>
            <w:r>
              <w:rPr>
                <w:rFonts w:ascii="Calibri" w:hAnsi="Calibri"/>
                <w:sz w:val="22"/>
              </w:rPr>
              <w:t>$1,249</w:t>
            </w:r>
          </w:p>
        </w:tc>
        <w:tc>
          <w:tcPr>
            <w:tcW w:type="dxa" w:w="1234"/>
          </w:tcPr>
          <w:p>
            <w:r>
              <w:rPr>
                <w:rFonts w:ascii="Calibri" w:hAnsi="Calibri"/>
                <w:sz w:val="22"/>
              </w:rPr>
              <w:t>+11.4%</w:t>
            </w:r>
          </w:p>
        </w:tc>
        <w:tc>
          <w:tcPr>
            <w:tcW w:type="dxa" w:w="1234"/>
          </w:tcPr>
          <w:p>
            <w:r>
              <w:rPr>
                <w:rFonts w:ascii="Calibri" w:hAnsi="Calibri"/>
                <w:sz w:val="22"/>
              </w:rPr>
              <w:t>N/A (implied)</w:t>
            </w:r>
          </w:p>
        </w:tc>
        <w:tc>
          <w:tcPr>
            <w:tcW w:type="dxa" w:w="1234"/>
          </w:tcPr>
          <w:p>
            <w:r>
              <w:rPr>
                <w:rFonts w:ascii="Calibri" w:hAnsi="Calibri"/>
                <w:sz w:val="22"/>
              </w:rPr>
              <w:t>N/A</w:t>
            </w:r>
          </w:p>
        </w:tc>
      </w:tr>
      <w:tr>
        <w:tc>
          <w:tcPr>
            <w:tcW w:type="dxa" w:w="1234"/>
          </w:tcPr>
          <w:p>
            <w:r>
              <w:rPr>
                <w:rFonts w:ascii="Calibri" w:hAnsi="Calibri"/>
                <w:sz w:val="22"/>
              </w:rPr>
              <w:t>Service Billings ($M)</w:t>
            </w:r>
          </w:p>
        </w:tc>
        <w:tc>
          <w:tcPr>
            <w:tcW w:type="dxa" w:w="1234"/>
          </w:tcPr>
          <w:p>
            <w:r>
              <w:rPr>
                <w:rFonts w:ascii="Calibri" w:hAnsi="Calibri"/>
                <w:sz w:val="22"/>
              </w:rPr>
              <w:t>$1,440</w:t>
            </w:r>
          </w:p>
        </w:tc>
        <w:tc>
          <w:tcPr>
            <w:tcW w:type="dxa" w:w="1234"/>
          </w:tcPr>
          <w:p>
            <w:r>
              <w:rPr>
                <w:rFonts w:ascii="Calibri" w:hAnsi="Calibri"/>
                <w:sz w:val="22"/>
              </w:rPr>
              <w:t>$1,270</w:t>
            </w:r>
          </w:p>
        </w:tc>
        <w:tc>
          <w:tcPr>
            <w:tcW w:type="dxa" w:w="1234"/>
          </w:tcPr>
          <w:p>
            <w:r>
              <w:rPr>
                <w:rFonts w:ascii="Calibri" w:hAnsi="Calibri"/>
                <w:sz w:val="22"/>
              </w:rPr>
              <w:t>$1,503</w:t>
            </w:r>
          </w:p>
        </w:tc>
        <w:tc>
          <w:tcPr>
            <w:tcW w:type="dxa" w:w="1234"/>
          </w:tcPr>
          <w:p>
            <w:r>
              <w:rPr>
                <w:rFonts w:ascii="Calibri" w:hAnsi="Calibri"/>
                <w:sz w:val="22"/>
              </w:rPr>
              <w:t>+18.4%</w:t>
            </w:r>
          </w:p>
        </w:tc>
        <w:tc>
          <w:tcPr>
            <w:tcW w:type="dxa" w:w="1234"/>
          </w:tcPr>
          <w:p>
            <w:r>
              <w:rPr>
                <w:rFonts w:ascii="Calibri" w:hAnsi="Calibri"/>
                <w:sz w:val="22"/>
              </w:rPr>
              <w:t>N/A (implied)</w:t>
            </w:r>
          </w:p>
        </w:tc>
        <w:tc>
          <w:tcPr>
            <w:tcW w:type="dxa" w:w="1234"/>
          </w:tcPr>
          <w:p>
            <w:r>
              <w:rPr>
                <w:rFonts w:ascii="Calibri" w:hAnsi="Calibri"/>
                <w:sz w:val="22"/>
              </w:rPr>
              <w:t>N/A</w:t>
            </w:r>
          </w:p>
        </w:tc>
      </w:tr>
      <w:tr>
        <w:tc>
          <w:tcPr>
            <w:tcW w:type="dxa" w:w="1234"/>
          </w:tcPr>
          <w:p>
            <w:r>
              <w:rPr>
                <w:rFonts w:ascii="Calibri" w:hAnsi="Calibri"/>
                <w:sz w:val="22"/>
              </w:rPr>
              <w:t>Unified SASE Billings ($M)</w:t>
            </w:r>
          </w:p>
        </w:tc>
        <w:tc>
          <w:tcPr>
            <w:tcW w:type="dxa" w:w="1234"/>
          </w:tcPr>
          <w:p>
            <w:r>
              <w:rPr>
                <w:rFonts w:ascii="Calibri" w:hAnsi="Calibri"/>
                <w:sz w:val="22"/>
              </w:rPr>
              <w:t>$522</w:t>
            </w:r>
          </w:p>
        </w:tc>
        <w:tc>
          <w:tcPr>
            <w:tcW w:type="dxa" w:w="1234"/>
          </w:tcPr>
          <w:p>
            <w:r>
              <w:rPr>
                <w:rFonts w:ascii="Calibri" w:hAnsi="Calibri"/>
                <w:sz w:val="22"/>
              </w:rPr>
              <w:t>$425</w:t>
            </w:r>
          </w:p>
        </w:tc>
        <w:tc>
          <w:tcPr>
            <w:tcW w:type="dxa" w:w="1234"/>
          </w:tcPr>
          <w:p>
            <w:r>
              <w:rPr>
                <w:rFonts w:ascii="Calibri" w:hAnsi="Calibri"/>
                <w:sz w:val="22"/>
              </w:rPr>
              <w:t>$529</w:t>
            </w:r>
          </w:p>
        </w:tc>
        <w:tc>
          <w:tcPr>
            <w:tcW w:type="dxa" w:w="1234"/>
          </w:tcPr>
          <w:p>
            <w:r>
              <w:rPr>
                <w:rFonts w:ascii="Calibri" w:hAnsi="Calibri"/>
                <w:sz w:val="22"/>
              </w:rPr>
              <w:t>+24.5%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SecOps Billings ($M)</w:t>
            </w:r>
          </w:p>
        </w:tc>
        <w:tc>
          <w:tcPr>
            <w:tcW w:type="dxa" w:w="1234"/>
          </w:tcPr>
          <w:p>
            <w:r>
              <w:rPr>
                <w:rFonts w:ascii="Calibri" w:hAnsi="Calibri"/>
                <w:sz w:val="22"/>
              </w:rPr>
              <w:t>$195</w:t>
            </w:r>
          </w:p>
        </w:tc>
        <w:tc>
          <w:tcPr>
            <w:tcW w:type="dxa" w:w="1234"/>
          </w:tcPr>
          <w:p>
            <w:r>
              <w:rPr>
                <w:rFonts w:ascii="Calibri" w:hAnsi="Calibri"/>
                <w:sz w:val="22"/>
              </w:rPr>
              <w:t>$197</w:t>
            </w:r>
          </w:p>
        </w:tc>
        <w:tc>
          <w:tcPr>
            <w:tcW w:type="dxa" w:w="1234"/>
          </w:tcPr>
          <w:p>
            <w:r>
              <w:rPr>
                <w:rFonts w:ascii="Calibri" w:hAnsi="Calibri"/>
                <w:sz w:val="22"/>
              </w:rPr>
              <w:t>$190</w:t>
            </w:r>
          </w:p>
        </w:tc>
        <w:tc>
          <w:tcPr>
            <w:tcW w:type="dxa" w:w="1234"/>
          </w:tcPr>
          <w:p>
            <w:r>
              <w:rPr>
                <w:rFonts w:ascii="Calibri" w:hAnsi="Calibri"/>
                <w:sz w:val="22"/>
              </w:rPr>
              <w:t>-3.6%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Non-GAAP Operating Income ($M)</w:t>
            </w:r>
          </w:p>
        </w:tc>
        <w:tc>
          <w:tcPr>
            <w:tcW w:type="dxa" w:w="1234"/>
          </w:tcPr>
          <w:p>
            <w:r>
              <w:rPr>
                <w:rFonts w:ascii="Calibri" w:hAnsi="Calibri"/>
                <w:sz w:val="22"/>
              </w:rPr>
              <w:t>$662</w:t>
            </w:r>
          </w:p>
        </w:tc>
        <w:tc>
          <w:tcPr>
            <w:tcW w:type="dxa" w:w="1234"/>
          </w:tcPr>
          <w:p>
            <w:r>
              <w:rPr>
                <w:rFonts w:ascii="Calibri" w:hAnsi="Calibri"/>
                <w:sz w:val="22"/>
              </w:rPr>
              <w:t>$540</w:t>
            </w:r>
          </w:p>
        </w:tc>
        <w:tc>
          <w:tcPr>
            <w:tcW w:type="dxa" w:w="1234"/>
          </w:tcPr>
          <w:p>
            <w:r>
              <w:rPr>
                <w:rFonts w:ascii="Calibri" w:hAnsi="Calibri"/>
                <w:sz w:val="22"/>
              </w:rPr>
              <w:t>$643</w:t>
            </w:r>
          </w:p>
        </w:tc>
        <w:tc>
          <w:tcPr>
            <w:tcW w:type="dxa" w:w="1234"/>
          </w:tcPr>
          <w:p>
            <w:r>
              <w:rPr>
                <w:rFonts w:ascii="Calibri" w:hAnsi="Calibri"/>
                <w:sz w:val="22"/>
              </w:rPr>
              <w:t>+19.1%</w:t>
            </w:r>
          </w:p>
        </w:tc>
        <w:tc>
          <w:tcPr>
            <w:tcW w:type="dxa" w:w="1234"/>
          </w:tcPr>
          <w:p>
            <w:r>
              <w:rPr>
                <w:rFonts w:ascii="Calibri" w:hAnsi="Calibri"/>
                <w:sz w:val="22"/>
              </w:rPr>
              <w:t>~$627M (34% margin mid)</w:t>
            </w:r>
          </w:p>
        </w:tc>
        <w:tc>
          <w:tcPr>
            <w:tcW w:type="dxa" w:w="1234"/>
          </w:tcPr>
          <w:p>
            <w:r>
              <w:rPr>
                <w:rFonts w:ascii="Calibri" w:hAnsi="Calibri"/>
                <w:sz w:val="22"/>
              </w:rPr>
              <w:t>+2.6%</w:t>
            </w:r>
          </w:p>
        </w:tc>
      </w:tr>
      <w:tr>
        <w:tc>
          <w:tcPr>
            <w:tcW w:type="dxa" w:w="1234"/>
          </w:tcPr>
          <w:p>
            <w:r>
              <w:rPr>
                <w:rFonts w:ascii="Calibri" w:hAnsi="Calibri"/>
                <w:sz w:val="22"/>
              </w:rPr>
              <w:t>Non-GAAP Diluted EPS ($)</w:t>
            </w:r>
          </w:p>
        </w:tc>
        <w:tc>
          <w:tcPr>
            <w:tcW w:type="dxa" w:w="1234"/>
          </w:tcPr>
          <w:p>
            <w:r>
              <w:rPr>
                <w:rFonts w:ascii="Calibri" w:hAnsi="Calibri"/>
                <w:sz w:val="22"/>
              </w:rPr>
              <w:t>$0.82</w:t>
            </w:r>
          </w:p>
        </w:tc>
        <w:tc>
          <w:tcPr>
            <w:tcW w:type="dxa" w:w="1234"/>
          </w:tcPr>
          <w:p>
            <w:r>
              <w:rPr>
                <w:rFonts w:ascii="Calibri" w:hAnsi="Calibri"/>
                <w:sz w:val="22"/>
              </w:rPr>
              <w:t>$0.64</w:t>
            </w:r>
          </w:p>
        </w:tc>
        <w:tc>
          <w:tcPr>
            <w:tcW w:type="dxa" w:w="1234"/>
          </w:tcPr>
          <w:p>
            <w:r>
              <w:rPr>
                <w:rFonts w:ascii="Calibri" w:hAnsi="Calibri"/>
                <w:sz w:val="22"/>
              </w:rPr>
              <w:t>$0.75</w:t>
            </w:r>
          </w:p>
        </w:tc>
        <w:tc>
          <w:tcPr>
            <w:tcW w:type="dxa" w:w="1234"/>
          </w:tcPr>
          <w:p>
            <w:r>
              <w:rPr>
                <w:rFonts w:ascii="Calibri" w:hAnsi="Calibri"/>
                <w:sz w:val="22"/>
              </w:rPr>
              <w:t>+17.2%</w:t>
            </w:r>
          </w:p>
        </w:tc>
        <w:tc>
          <w:tcPr>
            <w:tcW w:type="dxa" w:w="1234"/>
          </w:tcPr>
          <w:p>
            <w:r>
              <w:rPr>
                <w:rFonts w:ascii="Calibri" w:hAnsi="Calibri"/>
                <w:sz w:val="22"/>
              </w:rPr>
              <w:t>$0.72–$0.76</w:t>
            </w:r>
          </w:p>
        </w:tc>
        <w:tc>
          <w:tcPr>
            <w:tcW w:type="dxa" w:w="1234"/>
          </w:tcPr>
          <w:p>
            <w:r>
              <w:rPr>
                <w:rFonts w:ascii="Calibri" w:hAnsi="Calibri"/>
                <w:sz w:val="22"/>
              </w:rPr>
              <w:t>-1.3%</w:t>
            </w:r>
          </w:p>
        </w:tc>
      </w:tr>
      <w:tr>
        <w:tc>
          <w:tcPr>
            <w:tcW w:type="dxa" w:w="1234"/>
          </w:tcPr>
          <w:p>
            <w:r>
              <w:rPr>
                <w:rFonts w:ascii="Calibri" w:hAnsi="Calibri"/>
                <w:sz w:val="22"/>
              </w:rPr>
              <w:t>Free Cash Flow ($M)</w:t>
            </w:r>
          </w:p>
        </w:tc>
        <w:tc>
          <w:tcPr>
            <w:tcW w:type="dxa" w:w="1234"/>
          </w:tcPr>
          <w:p>
            <w:r>
              <w:rPr>
                <w:rFonts w:ascii="Calibri" w:hAnsi="Calibri"/>
                <w:sz w:val="22"/>
              </w:rPr>
              <w:t>$1,007</w:t>
            </w:r>
          </w:p>
        </w:tc>
        <w:tc>
          <w:tcPr>
            <w:tcW w:type="dxa" w:w="1234"/>
          </w:tcPr>
          <w:p>
            <w:r>
              <w:rPr>
                <w:rFonts w:ascii="Calibri" w:hAnsi="Calibri"/>
                <w:sz w:val="22"/>
              </w:rPr>
              <w:t>$284</w:t>
            </w:r>
          </w:p>
        </w:tc>
        <w:tc>
          <w:tcPr>
            <w:tcW w:type="dxa" w:w="1234"/>
          </w:tcPr>
          <w:p>
            <w:r>
              <w:rPr>
                <w:rFonts w:ascii="Calibri" w:hAnsi="Calibri"/>
                <w:sz w:val="22"/>
              </w:rPr>
              <w:t>$538</w:t>
            </w:r>
          </w:p>
        </w:tc>
        <w:tc>
          <w:tcPr>
            <w:tcW w:type="dxa" w:w="1234"/>
          </w:tcPr>
          <w:p>
            <w:r>
              <w:rPr>
                <w:rFonts w:ascii="Calibri" w:hAnsi="Calibri"/>
                <w:sz w:val="22"/>
              </w:rPr>
              <w:t>+89.4%</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Q2 2026 guidance midpoints from Q1 2026 earnings call (May 6, 2026). YoY change calculated vs. Q2 2025 actuals. FCF is highly seasonal (Q1 is typically the strongest quarter). SecOps billings consensus reflects modest YoY decline as the segment laps a strong Q2 2025 comparable.</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Total Billings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$1,541</w:t>
            </w:r>
          </w:p>
        </w:tc>
        <w:tc>
          <w:tcPr>
            <w:tcW w:type="dxa" w:w="1728"/>
          </w:tcPr>
          <w:p>
            <w:r>
              <w:rPr>
                <w:rFonts w:ascii="Calibri" w:hAnsi="Calibri"/>
                <w:sz w:val="22"/>
              </w:rPr>
              <w:t>$1,518</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$1,582</w:t>
            </w:r>
          </w:p>
        </w:tc>
        <w:tc>
          <w:tcPr>
            <w:tcW w:type="dxa" w:w="1728"/>
          </w:tcPr>
          <w:p>
            <w:r>
              <w:rPr>
                <w:rFonts w:ascii="Calibri" w:hAnsi="Calibri"/>
                <w:sz w:val="22"/>
              </w:rPr>
              <w:t>$1,570</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$2,003</w:t>
            </w:r>
          </w:p>
        </w:tc>
        <w:tc>
          <w:tcPr>
            <w:tcW w:type="dxa" w:w="1728"/>
          </w:tcPr>
          <w:p>
            <w:r>
              <w:rPr>
                <w:rFonts w:ascii="Calibri" w:hAnsi="Calibri"/>
                <w:sz w:val="22"/>
              </w:rPr>
              <w:t>$1,956</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$1,597</w:t>
            </w:r>
          </w:p>
        </w:tc>
        <w:tc>
          <w:tcPr>
            <w:tcW w:type="dxa" w:w="1728"/>
          </w:tcPr>
          <w:p>
            <w:r>
              <w:rPr>
                <w:rFonts w:ascii="Calibri" w:hAnsi="Calibri"/>
                <w:sz w:val="22"/>
              </w:rPr>
              <w:t>$1,556</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$1,778</w:t>
            </w:r>
          </w:p>
        </w:tc>
        <w:tc>
          <w:tcPr>
            <w:tcW w:type="dxa" w:w="1728"/>
          </w:tcPr>
          <w:p>
            <w:r>
              <w:rPr>
                <w:rFonts w:ascii="Calibri" w:hAnsi="Calibri"/>
                <w:sz w:val="22"/>
              </w:rPr>
              <w:t>$1,733</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$1,808</w:t>
            </w:r>
          </w:p>
        </w:tc>
        <w:tc>
          <w:tcPr>
            <w:tcW w:type="dxa" w:w="1728"/>
          </w:tcPr>
          <w:p>
            <w:r>
              <w:rPr>
                <w:rFonts w:ascii="Calibri" w:hAnsi="Calibri"/>
                <w:sz w:val="22"/>
              </w:rPr>
              <w:t>$1,809</w:t>
            </w:r>
          </w:p>
        </w:tc>
        <w:tc>
          <w:tcPr>
            <w:tcW w:type="dxa" w:w="1728"/>
          </w:tcPr>
          <w:p>
            <w:r>
              <w:rPr>
                <w:rFonts w:ascii="Calibri" w:hAnsi="Calibri"/>
                <w:sz w:val="22"/>
              </w:rPr>
              <w:t>-0.1%</w:t>
            </w:r>
          </w:p>
        </w:tc>
        <w:tc>
          <w:tcPr>
            <w:tcW w:type="dxa" w:w="1728"/>
          </w:tcPr>
          <w:p>
            <w:r>
              <w:rPr>
                <w:rFonts w:ascii="Calibri" w:hAnsi="Calibri"/>
                <w:i/>
                <w:sz w:val="22"/>
              </w:rPr>
              <w:t>In-Line</w:t>
            </w:r>
          </w:p>
        </w:tc>
      </w:tr>
      <w:tr>
        <w:tc>
          <w:tcPr>
            <w:tcW w:type="dxa" w:w="1728"/>
          </w:tcPr>
          <w:p>
            <w:r>
              <w:rPr>
                <w:rFonts w:ascii="Calibri" w:hAnsi="Calibri"/>
                <w:sz w:val="22"/>
              </w:rPr>
              <w:t>Q4 2025</w:t>
            </w:r>
          </w:p>
        </w:tc>
        <w:tc>
          <w:tcPr>
            <w:tcW w:type="dxa" w:w="1728"/>
          </w:tcPr>
          <w:p>
            <w:r>
              <w:rPr>
                <w:rFonts w:ascii="Calibri" w:hAnsi="Calibri"/>
                <w:sz w:val="22"/>
              </w:rPr>
              <w:t>$2,370</w:t>
            </w:r>
          </w:p>
        </w:tc>
        <w:tc>
          <w:tcPr>
            <w:tcW w:type="dxa" w:w="1728"/>
          </w:tcPr>
          <w:p>
            <w:r>
              <w:rPr>
                <w:rFonts w:ascii="Calibri" w:hAnsi="Calibri"/>
                <w:sz w:val="22"/>
              </w:rPr>
              <w:t>$2,239</w:t>
            </w:r>
          </w:p>
        </w:tc>
        <w:tc>
          <w:tcPr>
            <w:tcW w:type="dxa" w:w="1728"/>
          </w:tcPr>
          <w:p>
            <w:r>
              <w:rPr>
                <w:rFonts w:ascii="Calibri" w:hAnsi="Calibri"/>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$2,085</w:t>
            </w:r>
          </w:p>
        </w:tc>
        <w:tc>
          <w:tcPr>
            <w:tcW w:type="dxa" w:w="1728"/>
          </w:tcPr>
          <w:p>
            <w:r>
              <w:rPr>
                <w:rFonts w:ascii="Calibri" w:hAnsi="Calibri"/>
                <w:sz w:val="22"/>
              </w:rPr>
              <w:t>$1,799</w:t>
            </w:r>
          </w:p>
        </w:tc>
        <w:tc>
          <w:tcPr>
            <w:tcW w:type="dxa" w:w="1728"/>
          </w:tcPr>
          <w:p>
            <w:r>
              <w:rPr>
                <w:rFonts w:ascii="Calibri" w:hAnsi="Calibri"/>
                <w:sz w:val="22"/>
              </w:rPr>
              <w:t>+15.9%</w:t>
            </w:r>
          </w:p>
        </w:tc>
        <w:tc>
          <w:tcPr>
            <w:tcW w:type="dxa" w:w="1728"/>
          </w:tcPr>
          <w:p>
            <w:r>
              <w:rPr>
                <w:rFonts w:ascii="Calibri" w:hAnsi="Calibri"/>
                <w:b/>
                <w:color w:val="30A46C"/>
                <w:sz w:val="22"/>
              </w:rPr>
              <w:t>Large Beat</w:t>
            </w:r>
          </w:p>
        </w:tc>
      </w:tr>
    </w:tbl>
    <w:p>
      <w:pPr>
        <w:pStyle w:val="Heading4"/>
      </w:pPr>
      <w:r>
        <w:rPr>
          <w:rFonts w:ascii="Calibri" w:hAnsi="Calibri"/>
          <w:b/>
          <w:color w:val="3B4259"/>
          <w:sz w:val="22"/>
        </w:rPr>
        <w:t>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$0.57</w:t>
            </w:r>
          </w:p>
        </w:tc>
        <w:tc>
          <w:tcPr>
            <w:tcW w:type="dxa" w:w="1728"/>
          </w:tcPr>
          <w:p>
            <w:r>
              <w:rPr>
                <w:rFonts w:ascii="Calibri" w:hAnsi="Calibri"/>
                <w:sz w:val="22"/>
              </w:rPr>
              <w:t>$0.41</w:t>
            </w:r>
          </w:p>
        </w:tc>
        <w:tc>
          <w:tcPr>
            <w:tcW w:type="dxa" w:w="1728"/>
          </w:tcPr>
          <w:p>
            <w:r>
              <w:rPr>
                <w:rFonts w:ascii="Calibri" w:hAnsi="Calibri"/>
                <w:sz w:val="22"/>
              </w:rPr>
              <w:t>+39.0%</w:t>
            </w:r>
          </w:p>
        </w:tc>
        <w:tc>
          <w:tcPr>
            <w:tcW w:type="dxa" w:w="1728"/>
          </w:tcPr>
          <w:p>
            <w:r>
              <w:rPr>
                <w:rFonts w:ascii="Calibri" w:hAnsi="Calibri"/>
                <w:b/>
                <w:color w:val="30A46C"/>
                <w:sz w:val="22"/>
              </w:rPr>
              <w:t>Large Beat</w:t>
            </w:r>
          </w:p>
        </w:tc>
      </w:tr>
      <w:tr>
        <w:tc>
          <w:tcPr>
            <w:tcW w:type="dxa" w:w="1728"/>
          </w:tcPr>
          <w:p>
            <w:r>
              <w:rPr>
                <w:rFonts w:ascii="Calibri" w:hAnsi="Calibri"/>
                <w:sz w:val="22"/>
              </w:rPr>
              <w:t>Q3 2024</w:t>
            </w:r>
          </w:p>
        </w:tc>
        <w:tc>
          <w:tcPr>
            <w:tcW w:type="dxa" w:w="1728"/>
          </w:tcPr>
          <w:p>
            <w:r>
              <w:rPr>
                <w:rFonts w:ascii="Calibri" w:hAnsi="Calibri"/>
                <w:sz w:val="22"/>
              </w:rPr>
              <w:t>$0.63</w:t>
            </w:r>
          </w:p>
        </w:tc>
        <w:tc>
          <w:tcPr>
            <w:tcW w:type="dxa" w:w="1728"/>
          </w:tcPr>
          <w:p>
            <w:r>
              <w:rPr>
                <w:rFonts w:ascii="Calibri" w:hAnsi="Calibri"/>
                <w:sz w:val="22"/>
              </w:rPr>
              <w:t>$0.52</w:t>
            </w:r>
          </w:p>
        </w:tc>
        <w:tc>
          <w:tcPr>
            <w:tcW w:type="dxa" w:w="1728"/>
          </w:tcPr>
          <w:p>
            <w:r>
              <w:rPr>
                <w:rFonts w:ascii="Calibri" w:hAnsi="Calibri"/>
                <w:sz w:val="22"/>
              </w:rPr>
              <w:t>+21.1%</w:t>
            </w:r>
          </w:p>
        </w:tc>
        <w:tc>
          <w:tcPr>
            <w:tcW w:type="dxa" w:w="1728"/>
          </w:tcPr>
          <w:p>
            <w:r>
              <w:rPr>
                <w:rFonts w:ascii="Calibri" w:hAnsi="Calibri"/>
                <w:b/>
                <w:color w:val="30A46C"/>
                <w:sz w:val="22"/>
              </w:rPr>
              <w:t>Large Beat</w:t>
            </w:r>
          </w:p>
        </w:tc>
      </w:tr>
      <w:tr>
        <w:tc>
          <w:tcPr>
            <w:tcW w:type="dxa" w:w="1728"/>
          </w:tcPr>
          <w:p>
            <w:r>
              <w:rPr>
                <w:rFonts w:ascii="Calibri" w:hAnsi="Calibri"/>
                <w:sz w:val="22"/>
              </w:rPr>
              <w:t>Q4 2024</w:t>
            </w:r>
          </w:p>
        </w:tc>
        <w:tc>
          <w:tcPr>
            <w:tcW w:type="dxa" w:w="1728"/>
          </w:tcPr>
          <w:p>
            <w:r>
              <w:rPr>
                <w:rFonts w:ascii="Calibri" w:hAnsi="Calibri"/>
                <w:sz w:val="22"/>
              </w:rPr>
              <w:t>$0.74</w:t>
            </w:r>
          </w:p>
        </w:tc>
        <w:tc>
          <w:tcPr>
            <w:tcW w:type="dxa" w:w="1728"/>
          </w:tcPr>
          <w:p>
            <w:r>
              <w:rPr>
                <w:rFonts w:ascii="Calibri" w:hAnsi="Calibri"/>
                <w:sz w:val="22"/>
              </w:rPr>
              <w:t>$0.61</w:t>
            </w:r>
          </w:p>
        </w:tc>
        <w:tc>
          <w:tcPr>
            <w:tcW w:type="dxa" w:w="1728"/>
          </w:tcPr>
          <w:p>
            <w:r>
              <w:rPr>
                <w:rFonts w:ascii="Calibri" w:hAnsi="Calibri"/>
                <w:sz w:val="22"/>
              </w:rPr>
              <w:t>+21.3%</w:t>
            </w:r>
          </w:p>
        </w:tc>
        <w:tc>
          <w:tcPr>
            <w:tcW w:type="dxa" w:w="1728"/>
          </w:tcPr>
          <w:p>
            <w:r>
              <w:rPr>
                <w:rFonts w:ascii="Calibri" w:hAnsi="Calibri"/>
                <w:b/>
                <w:color w:val="30A46C"/>
                <w:sz w:val="22"/>
              </w:rPr>
              <w:t>Large Beat</w:t>
            </w:r>
          </w:p>
        </w:tc>
      </w:tr>
      <w:tr>
        <w:tc>
          <w:tcPr>
            <w:tcW w:type="dxa" w:w="1728"/>
          </w:tcPr>
          <w:p>
            <w:r>
              <w:rPr>
                <w:rFonts w:ascii="Calibri" w:hAnsi="Calibri"/>
                <w:sz w:val="22"/>
              </w:rPr>
              <w:t>Q1 2025</w:t>
            </w:r>
          </w:p>
        </w:tc>
        <w:tc>
          <w:tcPr>
            <w:tcW w:type="dxa" w:w="1728"/>
          </w:tcPr>
          <w:p>
            <w:r>
              <w:rPr>
                <w:rFonts w:ascii="Calibri" w:hAnsi="Calibri"/>
                <w:sz w:val="22"/>
              </w:rPr>
              <w:t>$0.58</w:t>
            </w:r>
          </w:p>
        </w:tc>
        <w:tc>
          <w:tcPr>
            <w:tcW w:type="dxa" w:w="1728"/>
          </w:tcPr>
          <w:p>
            <w:r>
              <w:rPr>
                <w:rFonts w:ascii="Calibri" w:hAnsi="Calibri"/>
                <w:sz w:val="22"/>
              </w:rPr>
              <w:t>$0.54</w:t>
            </w:r>
          </w:p>
        </w:tc>
        <w:tc>
          <w:tcPr>
            <w:tcW w:type="dxa" w:w="1728"/>
          </w:tcPr>
          <w:p>
            <w:r>
              <w:rPr>
                <w:rFonts w:ascii="Calibri" w:hAnsi="Calibri"/>
                <w:sz w:val="22"/>
              </w:rPr>
              <w:t>+8.0%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$0.64</w:t>
            </w:r>
          </w:p>
        </w:tc>
        <w:tc>
          <w:tcPr>
            <w:tcW w:type="dxa" w:w="1728"/>
          </w:tcPr>
          <w:p>
            <w:r>
              <w:rPr>
                <w:rFonts w:ascii="Calibri" w:hAnsi="Calibri"/>
                <w:sz w:val="22"/>
              </w:rPr>
              <w:t>$0.59</w:t>
            </w:r>
          </w:p>
        </w:tc>
        <w:tc>
          <w:tcPr>
            <w:tcW w:type="dxa" w:w="1728"/>
          </w:tcPr>
          <w:p>
            <w:r>
              <w:rPr>
                <w:rFonts w:ascii="Calibri" w:hAnsi="Calibri"/>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$0.74</w:t>
            </w:r>
          </w:p>
        </w:tc>
        <w:tc>
          <w:tcPr>
            <w:tcW w:type="dxa" w:w="1728"/>
          </w:tcPr>
          <w:p>
            <w:r>
              <w:rPr>
                <w:rFonts w:ascii="Calibri" w:hAnsi="Calibri"/>
                <w:sz w:val="22"/>
              </w:rPr>
              <w:t>$0.63</w:t>
            </w:r>
          </w:p>
        </w:tc>
        <w:tc>
          <w:tcPr>
            <w:tcW w:type="dxa" w:w="1728"/>
          </w:tcPr>
          <w:p>
            <w:r>
              <w:rPr>
                <w:rFonts w:ascii="Calibri" w:hAnsi="Calibri"/>
                <w:sz w:val="22"/>
              </w:rPr>
              <w:t>+17.5%</w:t>
            </w:r>
          </w:p>
        </w:tc>
        <w:tc>
          <w:tcPr>
            <w:tcW w:type="dxa" w:w="1728"/>
          </w:tcPr>
          <w:p>
            <w:r>
              <w:rPr>
                <w:rFonts w:ascii="Calibri" w:hAnsi="Calibri"/>
                <w:b/>
                <w:color w:val="30A46C"/>
                <w:sz w:val="22"/>
              </w:rPr>
              <w:t>Large Beat</w:t>
            </w:r>
          </w:p>
        </w:tc>
      </w:tr>
      <w:tr>
        <w:tc>
          <w:tcPr>
            <w:tcW w:type="dxa" w:w="1728"/>
          </w:tcPr>
          <w:p>
            <w:r>
              <w:rPr>
                <w:rFonts w:ascii="Calibri" w:hAnsi="Calibri"/>
                <w:sz w:val="22"/>
              </w:rPr>
              <w:t>Q4 2025</w:t>
            </w:r>
          </w:p>
        </w:tc>
        <w:tc>
          <w:tcPr>
            <w:tcW w:type="dxa" w:w="1728"/>
          </w:tcPr>
          <w:p>
            <w:r>
              <w:rPr>
                <w:rFonts w:ascii="Calibri" w:hAnsi="Calibri"/>
                <w:sz w:val="22"/>
              </w:rPr>
              <w:t>$0.81</w:t>
            </w:r>
          </w:p>
        </w:tc>
        <w:tc>
          <w:tcPr>
            <w:tcW w:type="dxa" w:w="1728"/>
          </w:tcPr>
          <w:p>
            <w:r>
              <w:rPr>
                <w:rFonts w:ascii="Calibri" w:hAnsi="Calibri"/>
                <w:sz w:val="22"/>
              </w:rPr>
              <w:t>$0.74</w:t>
            </w:r>
          </w:p>
        </w:tc>
        <w:tc>
          <w:tcPr>
            <w:tcW w:type="dxa" w:w="1728"/>
          </w:tcPr>
          <w:p>
            <w:r>
              <w:rPr>
                <w:rFonts w:ascii="Calibri" w:hAnsi="Calibri"/>
                <w:sz w:val="22"/>
              </w:rPr>
              <w:t>+9.5%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$0.82</w:t>
            </w:r>
          </w:p>
        </w:tc>
        <w:tc>
          <w:tcPr>
            <w:tcW w:type="dxa" w:w="1728"/>
          </w:tcPr>
          <w:p>
            <w:r>
              <w:rPr>
                <w:rFonts w:ascii="Calibri" w:hAnsi="Calibri"/>
                <w:sz w:val="22"/>
              </w:rPr>
              <w:t>$0.62</w:t>
            </w:r>
          </w:p>
        </w:tc>
        <w:tc>
          <w:tcPr>
            <w:tcW w:type="dxa" w:w="1728"/>
          </w:tcPr>
          <w:p>
            <w:r>
              <w:rPr>
                <w:rFonts w:ascii="Calibri" w:hAnsi="Calibri"/>
                <w:sz w:val="22"/>
              </w:rPr>
              <w:t>+32.3%</w:t>
            </w:r>
          </w:p>
        </w:tc>
        <w:tc>
          <w:tcPr>
            <w:tcW w:type="dxa" w:w="1728"/>
          </w:tcPr>
          <w:p>
            <w:r>
              <w:rPr>
                <w:rFonts w:ascii="Calibri" w:hAnsi="Calibri"/>
                <w:b/>
                <w:color w:val="30A46C"/>
                <w:sz w:val="22"/>
              </w:rPr>
              <w:t>Large Beat</w:t>
            </w:r>
          </w:p>
        </w:tc>
      </w:tr>
    </w:tbl>
    <w:p>
      <w:r>
        <w:rPr>
          <w:rFonts w:ascii="Calibri" w:hAnsi="Calibri"/>
          <w:b/>
          <w:color w:val="525866"/>
          <w:sz w:val="22"/>
        </w:rPr>
        <w:t xml:space="preserve">Pattern: </w:t>
      </w:r>
      <w:r>
        <w:rPr>
          <w:rFonts w:ascii="Calibri" w:hAnsi="Calibri"/>
          <w:i/>
          <w:color w:val="525866"/>
          <w:sz w:val="22"/>
        </w:rPr>
        <w:t>FTNT has beaten billings consensus in 7 of the last 8 quarters (one in-line in Q3 2025), with the beat magnitude accelerating sharply in Q4 2025 and Q1 2026 driven by AI data-center demand. EPS has beaten in all 8 quarters, with large beats in 6 of 8 — the consistent EPS outperformance reflects both revenue upside and operating leverage. The bar for Q2 2026 is set at the guidance midpoint, which historically has been a floor rather than a ceiling.</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(May 6, 2026), but management’s tone has grown more confident — TD Cowen’s channel checks (July 2026) indicate Q2 is tracking </w:t>
      </w:r>
      <w:r>
        <w:rPr>
          <w:rFonts w:ascii="Calibri" w:hAnsi="Calibri"/>
          <w:b/>
          <w:color w:val="525866"/>
          <w:sz w:val="22"/>
        </w:rPr>
        <w:t>ahead of targets</w:t>
      </w:r>
      <w:r>
        <w:rPr>
          <w:rFonts w:ascii="Calibri" w:hAnsi="Calibri"/>
          <w:color w:val="525866"/>
          <w:sz w:val="22"/>
        </w:rPr>
        <w:t>, and the Accelerate Investor Briefing (March 2026) reinforced the H2 service revenue inflection thesis. No 8-K guidance update has been filed.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Billings</w:t>
            </w:r>
          </w:p>
        </w:tc>
        <w:tc>
          <w:tcPr>
            <w:tcW w:type="dxa" w:w="1728"/>
          </w:tcPr>
          <w:p>
            <w:r>
              <w:rPr>
                <w:rFonts w:ascii="Calibri" w:hAnsi="Calibri"/>
                <w:sz w:val="22"/>
              </w:rPr>
              <w:t>$2.09B – $2.19B (mid: $2.14B; +20% YoY)</w:t>
            </w:r>
          </w:p>
        </w:tc>
        <w:tc>
          <w:tcPr>
            <w:tcW w:type="dxa" w:w="1728"/>
          </w:tcPr>
          <w:p>
            <w:r>
              <w:rPr>
                <w:rFonts w:ascii="Calibri" w:hAnsi="Calibri"/>
                <w:sz w:val="22"/>
              </w:rPr>
              <w:t>—</w:t>
            </w:r>
          </w:p>
        </w:tc>
        <w:tc>
          <w:tcPr>
            <w:tcW w:type="dxa" w:w="1728"/>
          </w:tcPr>
          <w:p>
            <w:r>
              <w:rPr>
                <w:rFonts w:ascii="Calibri" w:hAnsi="Calibri"/>
                <w:sz w:val="22"/>
              </w:rPr>
              <w:t>$2.142B</w:t>
            </w:r>
          </w:p>
        </w:tc>
        <w:tc>
          <w:tcPr>
            <w:tcW w:type="dxa" w:w="1728"/>
          </w:tcPr>
          <w:p>
            <w:r>
              <w:rPr>
                <w:rFonts w:ascii="Calibri" w:hAnsi="Calibri"/>
                <w:sz w:val="22"/>
              </w:rPr>
              <w:t>No formal revision; TD Cowen channel checks (Jul 2026) suggest tracking to $2.23B</w:t>
            </w:r>
          </w:p>
        </w:tc>
      </w:tr>
      <w:tr>
        <w:tc>
          <w:tcPr>
            <w:tcW w:type="dxa" w:w="1728"/>
          </w:tcPr>
          <w:p>
            <w:r>
              <w:rPr>
                <w:rFonts w:ascii="Calibri" w:hAnsi="Calibri"/>
                <w:sz w:val="22"/>
              </w:rPr>
              <w:t>Q2 2026 Revenue</w:t>
            </w:r>
          </w:p>
        </w:tc>
        <w:tc>
          <w:tcPr>
            <w:tcW w:type="dxa" w:w="1728"/>
          </w:tcPr>
          <w:p>
            <w:r>
              <w:rPr>
                <w:rFonts w:ascii="Calibri" w:hAnsi="Calibri"/>
                <w:sz w:val="22"/>
              </w:rPr>
              <w:t>$1.83B – $1.93B (mid: $1.88B; +15% YoY)</w:t>
            </w:r>
          </w:p>
        </w:tc>
        <w:tc>
          <w:tcPr>
            <w:tcW w:type="dxa" w:w="1728"/>
          </w:tcPr>
          <w:p>
            <w:r>
              <w:rPr>
                <w:rFonts w:ascii="Calibri" w:hAnsi="Calibri"/>
                <w:sz w:val="22"/>
              </w:rPr>
              <w:t>—</w:t>
            </w:r>
          </w:p>
        </w:tc>
        <w:tc>
          <w:tcPr>
            <w:tcW w:type="dxa" w:w="1728"/>
          </w:tcPr>
          <w:p>
            <w:r>
              <w:rPr>
                <w:rFonts w:ascii="Calibri" w:hAnsi="Calibri"/>
                <w:sz w:val="22"/>
              </w:rPr>
              <w:t>$1.888B</w:t>
            </w:r>
          </w:p>
        </w:tc>
        <w:tc>
          <w:tcPr>
            <w:tcW w:type="dxa" w:w="1728"/>
          </w:tcPr>
          <w:p>
            <w:r>
              <w:rPr>
                <w:rFonts w:ascii="Calibri" w:hAnsi="Calibri"/>
                <w:sz w:val="22"/>
              </w:rPr>
              <w:t>Consensus at midpoint; TD Cowen raised to $1.937B</w:t>
            </w:r>
          </w:p>
        </w:tc>
      </w:tr>
      <w:tr>
        <w:tc>
          <w:tcPr>
            <w:tcW w:type="dxa" w:w="1728"/>
          </w:tcPr>
          <w:p>
            <w:r>
              <w:rPr>
                <w:rFonts w:ascii="Calibri" w:hAnsi="Calibri"/>
                <w:sz w:val="22"/>
              </w:rPr>
              <w:t>Q2 2026 Non-GAAP EPS</w:t>
            </w:r>
          </w:p>
        </w:tc>
        <w:tc>
          <w:tcPr>
            <w:tcW w:type="dxa" w:w="1728"/>
          </w:tcPr>
          <w:p>
            <w:r>
              <w:rPr>
                <w:rFonts w:ascii="Calibri" w:hAnsi="Calibri"/>
                <w:sz w:val="22"/>
              </w:rPr>
              <w:t>$0.72 – $0.76 (mid: $0.74)</w:t>
            </w:r>
          </w:p>
        </w:tc>
        <w:tc>
          <w:tcPr>
            <w:tcW w:type="dxa" w:w="1728"/>
          </w:tcPr>
          <w:p>
            <w:r>
              <w:rPr>
                <w:rFonts w:ascii="Calibri" w:hAnsi="Calibri"/>
                <w:sz w:val="22"/>
              </w:rPr>
              <w:t>—</w:t>
            </w:r>
          </w:p>
        </w:tc>
        <w:tc>
          <w:tcPr>
            <w:tcW w:type="dxa" w:w="1728"/>
          </w:tcPr>
          <w:p>
            <w:r>
              <w:rPr>
                <w:rFonts w:ascii="Calibri" w:hAnsi="Calibri"/>
                <w:sz w:val="22"/>
              </w:rPr>
              <w:t>$0.747</w:t>
            </w:r>
          </w:p>
        </w:tc>
        <w:tc>
          <w:tcPr>
            <w:tcW w:type="dxa" w:w="1728"/>
          </w:tcPr>
          <w:p>
            <w:r>
              <w:rPr>
                <w:rFonts w:ascii="Calibri" w:hAnsi="Calibri"/>
                <w:sz w:val="22"/>
              </w:rPr>
              <w:t>Consensus at midpoint; upside likely if product revenue beats</w:t>
            </w:r>
          </w:p>
        </w:tc>
      </w:tr>
      <w:tr>
        <w:tc>
          <w:tcPr>
            <w:tcW w:type="dxa" w:w="1728"/>
          </w:tcPr>
          <w:p>
            <w:r>
              <w:rPr>
                <w:rFonts w:ascii="Calibri" w:hAnsi="Calibri"/>
                <w:sz w:val="22"/>
              </w:rPr>
              <w:t>Q2 2026 Non-GAAP Gross Margin</w:t>
            </w:r>
          </w:p>
        </w:tc>
        <w:tc>
          <w:tcPr>
            <w:tcW w:type="dxa" w:w="1728"/>
          </w:tcPr>
          <w:p>
            <w:r>
              <w:rPr>
                <w:rFonts w:ascii="Calibri" w:hAnsi="Calibri"/>
                <w:sz w:val="22"/>
              </w:rPr>
              <w:t>79.5% – 80.5%</w:t>
            </w:r>
          </w:p>
        </w:tc>
        <w:tc>
          <w:tcPr>
            <w:tcW w:type="dxa" w:w="1728"/>
          </w:tcPr>
          <w:p>
            <w:r>
              <w:rPr>
                <w:rFonts w:ascii="Calibri" w:hAnsi="Calibri"/>
                <w:sz w:val="22"/>
              </w:rPr>
              <w:t>—</w:t>
            </w:r>
          </w:p>
        </w:tc>
        <w:tc>
          <w:tcPr>
            <w:tcW w:type="dxa" w:w="1728"/>
          </w:tcPr>
          <w:p>
            <w:r>
              <w:rPr>
                <w:rFonts w:ascii="Calibri" w:hAnsi="Calibri"/>
                <w:sz w:val="22"/>
              </w:rPr>
              <w:t>~80% (implied)</w:t>
            </w:r>
          </w:p>
        </w:tc>
        <w:tc>
          <w:tcPr>
            <w:tcW w:type="dxa" w:w="1728"/>
          </w:tcPr>
          <w:p>
            <w:r>
              <w:rPr>
                <w:rFonts w:ascii="Calibri" w:hAnsi="Calibri"/>
                <w:sz w:val="22"/>
              </w:rPr>
              <w:t>Tariff/supply chain pricing actions may pressure product gross margin slightly</w:t>
            </w:r>
          </w:p>
        </w:tc>
      </w:tr>
      <w:tr>
        <w:tc>
          <w:tcPr>
            <w:tcW w:type="dxa" w:w="1728"/>
          </w:tcPr>
          <w:p>
            <w:r>
              <w:rPr>
                <w:rFonts w:ascii="Calibri" w:hAnsi="Calibri"/>
                <w:sz w:val="22"/>
              </w:rPr>
              <w:t>Q2 2026 Non-GAAP Operating Margin</w:t>
            </w:r>
          </w:p>
        </w:tc>
        <w:tc>
          <w:tcPr>
            <w:tcW w:type="dxa" w:w="1728"/>
          </w:tcPr>
          <w:p>
            <w:r>
              <w:rPr>
                <w:rFonts w:ascii="Calibri" w:hAnsi="Calibri"/>
                <w:sz w:val="22"/>
              </w:rPr>
              <w:t>33% – 35% (mid: 34%)</w:t>
            </w:r>
          </w:p>
        </w:tc>
        <w:tc>
          <w:tcPr>
            <w:tcW w:type="dxa" w:w="1728"/>
          </w:tcPr>
          <w:p>
            <w:r>
              <w:rPr>
                <w:rFonts w:ascii="Calibri" w:hAnsi="Calibri"/>
                <w:sz w:val="22"/>
              </w:rPr>
              <w:t>—</w:t>
            </w:r>
          </w:p>
        </w:tc>
        <w:tc>
          <w:tcPr>
            <w:tcW w:type="dxa" w:w="1728"/>
          </w:tcPr>
          <w:p>
            <w:r>
              <w:rPr>
                <w:rFonts w:ascii="Calibri" w:hAnsi="Calibri"/>
                <w:sz w:val="22"/>
              </w:rPr>
              <w:t>~34%</w:t>
            </w:r>
          </w:p>
        </w:tc>
        <w:tc>
          <w:tcPr>
            <w:tcW w:type="dxa" w:w="1728"/>
          </w:tcPr>
          <w:p>
            <w:r>
              <w:rPr>
                <w:rFonts w:ascii="Calibri" w:hAnsi="Calibri"/>
                <w:sz w:val="22"/>
              </w:rPr>
              <w:t>Unchanged; management committed to Rule of 45 framework</w:t>
            </w:r>
          </w:p>
        </w:tc>
      </w:tr>
      <w:tr>
        <w:tc>
          <w:tcPr>
            <w:tcW w:type="dxa" w:w="1728"/>
          </w:tcPr>
          <w:p>
            <w:r>
              <w:rPr>
                <w:rFonts w:ascii="Calibri" w:hAnsi="Calibri"/>
                <w:sz w:val="22"/>
              </w:rPr>
              <w:t>FY 2026 Billings</w:t>
            </w:r>
          </w:p>
        </w:tc>
        <w:tc>
          <w:tcPr>
            <w:tcW w:type="dxa" w:w="1728"/>
          </w:tcPr>
          <w:p>
            <w:r>
              <w:rPr>
                <w:rFonts w:ascii="Calibri" w:hAnsi="Calibri"/>
                <w:sz w:val="22"/>
              </w:rPr>
              <w:t>$8.8B – $9.1B (mid: $8.95B; +18% YoY)</w:t>
            </w:r>
          </w:p>
        </w:tc>
        <w:tc>
          <w:tcPr>
            <w:tcW w:type="dxa" w:w="1728"/>
          </w:tcPr>
          <w:p>
            <w:r>
              <w:rPr>
                <w:rFonts w:ascii="Calibri" w:hAnsi="Calibri"/>
                <w:sz w:val="22"/>
              </w:rPr>
              <w:t>—</w:t>
            </w:r>
          </w:p>
        </w:tc>
        <w:tc>
          <w:tcPr>
            <w:tcW w:type="dxa" w:w="1728"/>
          </w:tcPr>
          <w:p>
            <w:r>
              <w:rPr>
                <w:rFonts w:ascii="Calibri" w:hAnsi="Calibri"/>
                <w:sz w:val="22"/>
              </w:rPr>
              <w:t>$8.942B</w:t>
            </w:r>
          </w:p>
        </w:tc>
        <w:tc>
          <w:tcPr>
            <w:tcW w:type="dxa" w:w="1728"/>
          </w:tcPr>
          <w:p>
            <w:r>
              <w:rPr>
                <w:rFonts w:ascii="Calibri" w:hAnsi="Calibri"/>
                <w:sz w:val="22"/>
              </w:rPr>
              <w:t>Consensus near midpoint; TD Cowen raised FY estimate to ~$9.1B</w:t>
            </w:r>
          </w:p>
        </w:tc>
      </w:tr>
      <w:tr>
        <w:tc>
          <w:tcPr>
            <w:tcW w:type="dxa" w:w="1728"/>
          </w:tcPr>
          <w:p>
            <w:r>
              <w:rPr>
                <w:rFonts w:ascii="Calibri" w:hAnsi="Calibri"/>
                <w:sz w:val="22"/>
              </w:rPr>
              <w:t>FY 2026 Revenue</w:t>
            </w:r>
          </w:p>
        </w:tc>
        <w:tc>
          <w:tcPr>
            <w:tcW w:type="dxa" w:w="1728"/>
          </w:tcPr>
          <w:p>
            <w:r>
              <w:rPr>
                <w:rFonts w:ascii="Calibri" w:hAnsi="Calibri"/>
                <w:sz w:val="22"/>
              </w:rPr>
              <w:t>$7.71B – $7.87B (mid: $7.79B; +15% YoY)</w:t>
            </w:r>
          </w:p>
        </w:tc>
        <w:tc>
          <w:tcPr>
            <w:tcW w:type="dxa" w:w="1728"/>
          </w:tcPr>
          <w:p>
            <w:r>
              <w:rPr>
                <w:rFonts w:ascii="Calibri" w:hAnsi="Calibri"/>
                <w:sz w:val="22"/>
              </w:rPr>
              <w:t>—</w:t>
            </w:r>
          </w:p>
        </w:tc>
        <w:tc>
          <w:tcPr>
            <w:tcW w:type="dxa" w:w="1728"/>
          </w:tcPr>
          <w:p>
            <w:r>
              <w:rPr>
                <w:rFonts w:ascii="Calibri" w:hAnsi="Calibri"/>
                <w:sz w:val="22"/>
              </w:rPr>
              <w:t>$7.804B</w:t>
            </w:r>
          </w:p>
        </w:tc>
        <w:tc>
          <w:tcPr>
            <w:tcW w:type="dxa" w:w="1728"/>
          </w:tcPr>
          <w:p>
            <w:r>
              <w:rPr>
                <w:rFonts w:ascii="Calibri" w:hAnsi="Calibri"/>
                <w:sz w:val="22"/>
              </w:rPr>
              <w:t>Consensus slightly above midpoint; TD Cowen at $7.854B (~1% above consensus)</w:t>
            </w:r>
          </w:p>
        </w:tc>
      </w:tr>
      <w:tr>
        <w:tc>
          <w:tcPr>
            <w:tcW w:type="dxa" w:w="1728"/>
          </w:tcPr>
          <w:p>
            <w:r>
              <w:rPr>
                <w:rFonts w:ascii="Calibri" w:hAnsi="Calibri"/>
                <w:sz w:val="22"/>
              </w:rPr>
              <w:t>FY 2026 Service Revenue</w:t>
            </w:r>
          </w:p>
        </w:tc>
        <w:tc>
          <w:tcPr>
            <w:tcW w:type="dxa" w:w="1728"/>
          </w:tcPr>
          <w:p>
            <w:r>
              <w:rPr>
                <w:rFonts w:ascii="Calibri" w:hAnsi="Calibri"/>
                <w:sz w:val="22"/>
              </w:rPr>
              <w:t>$5.09B – $5.15B (mid: $5.12B; +12% YoY)</w:t>
            </w:r>
          </w:p>
        </w:tc>
        <w:tc>
          <w:tcPr>
            <w:tcW w:type="dxa" w:w="1728"/>
          </w:tcPr>
          <w:p>
            <w:r>
              <w:rPr>
                <w:rFonts w:ascii="Calibri" w:hAnsi="Calibri"/>
                <w:sz w:val="22"/>
              </w:rPr>
              <w:t>—</w:t>
            </w:r>
          </w:p>
        </w:tc>
        <w:tc>
          <w:tcPr>
            <w:tcW w:type="dxa" w:w="1728"/>
          </w:tcPr>
          <w:p>
            <w:r>
              <w:rPr>
                <w:rFonts w:ascii="Calibri" w:hAnsi="Calibri"/>
                <w:sz w:val="22"/>
              </w:rPr>
              <w:t>$5.124B</w:t>
            </w:r>
          </w:p>
        </w:tc>
        <w:tc>
          <w:tcPr>
            <w:tcW w:type="dxa" w:w="1728"/>
          </w:tcPr>
          <w:p>
            <w:r>
              <w:rPr>
                <w:rFonts w:ascii="Calibri" w:hAnsi="Calibri"/>
                <w:sz w:val="22"/>
              </w:rPr>
              <w:t>H2 2026 inflection thesis intact; management raised low end of range on Q1 call</w:t>
            </w:r>
          </w:p>
        </w:tc>
      </w:tr>
      <w:tr>
        <w:tc>
          <w:tcPr>
            <w:tcW w:type="dxa" w:w="1728"/>
          </w:tcPr>
          <w:p>
            <w:r>
              <w:rPr>
                <w:rFonts w:ascii="Calibri" w:hAnsi="Calibri"/>
                <w:sz w:val="22"/>
              </w:rPr>
              <w:t>FY 2026 Non-GAAP EPS</w:t>
            </w:r>
          </w:p>
        </w:tc>
        <w:tc>
          <w:tcPr>
            <w:tcW w:type="dxa" w:w="1728"/>
          </w:tcPr>
          <w:p>
            <w:r>
              <w:rPr>
                <w:rFonts w:ascii="Calibri" w:hAnsi="Calibri"/>
                <w:sz w:val="22"/>
              </w:rPr>
              <w:t>$3.10 – $3.16 (mid: $3.13)</w:t>
            </w:r>
          </w:p>
        </w:tc>
        <w:tc>
          <w:tcPr>
            <w:tcW w:type="dxa" w:w="1728"/>
          </w:tcPr>
          <w:p>
            <w:r>
              <w:rPr>
                <w:rFonts w:ascii="Calibri" w:hAnsi="Calibri"/>
                <w:sz w:val="22"/>
              </w:rPr>
              <w:t>—</w:t>
            </w:r>
          </w:p>
        </w:tc>
        <w:tc>
          <w:tcPr>
            <w:tcW w:type="dxa" w:w="1728"/>
          </w:tcPr>
          <w:p>
            <w:r>
              <w:rPr>
                <w:rFonts w:ascii="Calibri" w:hAnsi="Calibri"/>
                <w:sz w:val="22"/>
              </w:rPr>
              <w:t>$3.156</w:t>
            </w:r>
          </w:p>
        </w:tc>
        <w:tc>
          <w:tcPr>
            <w:tcW w:type="dxa" w:w="1728"/>
          </w:tcPr>
          <w:p>
            <w:r>
              <w:rPr>
                <w:rFonts w:ascii="Calibri" w:hAnsi="Calibri"/>
                <w:sz w:val="22"/>
              </w:rPr>
              <w:t>Consensus at high end of guidance range; upside if Q2 product revenue beats again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modestly higher</w:t>
      </w:r>
      <w:r>
        <w:rPr>
          <w:rFonts w:ascii="Calibri" w:hAnsi="Calibri"/>
          <w:color w:val="525866"/>
          <w:sz w:val="22"/>
        </w:rPr>
        <w:t xml:space="preserve"> since the Q1 2026 print — billings and EPS revisions are tracking with or slightly above guidance, reflecting growing confidence in the AI demand cycle. The gap between current consensus and guidance midpoints is narrow, suggesting the street is not pricing in a large beat, which leaves room for positive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11,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Billings — Q2 2026</w:t>
            </w:r>
          </w:p>
        </w:tc>
        <w:tc>
          <w:tcPr>
            <w:tcW w:type="dxa" w:w="1080"/>
          </w:tcPr>
          <w:p>
            <w:r>
              <w:rPr>
                <w:rFonts w:ascii="Calibri" w:hAnsi="Calibri"/>
                <w:sz w:val="22"/>
              </w:rPr>
              <w:t>$2,139M</w:t>
            </w:r>
          </w:p>
        </w:tc>
        <w:tc>
          <w:tcPr>
            <w:tcW w:type="dxa" w:w="1080"/>
          </w:tcPr>
          <w:p>
            <w:r>
              <w:rPr>
                <w:rFonts w:ascii="Calibri" w:hAnsi="Calibri"/>
                <w:sz w:val="22"/>
              </w:rPr>
              <w:t>$2,142M</w:t>
            </w:r>
          </w:p>
        </w:tc>
        <w:tc>
          <w:tcPr>
            <w:tcW w:type="dxa" w:w="1080"/>
          </w:tcPr>
          <w:p>
            <w:r>
              <w:rPr>
                <w:rFonts w:ascii="Calibri" w:hAnsi="Calibri"/>
                <w:sz w:val="22"/>
              </w:rPr>
              <w:t>+0.1%</w:t>
            </w:r>
          </w:p>
        </w:tc>
        <w:tc>
          <w:tcPr>
            <w:tcW w:type="dxa" w:w="1080"/>
          </w:tcPr>
          <w:p>
            <w:r>
              <w:rPr>
                <w:rFonts w:ascii="Calibri" w:hAnsi="Calibri"/>
                <w:sz w:val="22"/>
              </w:rPr>
              <w:t>$2,090M–$2,190M (mid: $2,140M)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Total Revenue — Q2 2026</w:t>
            </w:r>
          </w:p>
        </w:tc>
        <w:tc>
          <w:tcPr>
            <w:tcW w:type="dxa" w:w="1080"/>
          </w:tcPr>
          <w:p>
            <w:r>
              <w:rPr>
                <w:rFonts w:ascii="Calibri" w:hAnsi="Calibri"/>
                <w:sz w:val="22"/>
              </w:rPr>
              <w:t>$1,886M</w:t>
            </w:r>
          </w:p>
        </w:tc>
        <w:tc>
          <w:tcPr>
            <w:tcW w:type="dxa" w:w="1080"/>
          </w:tcPr>
          <w:p>
            <w:r>
              <w:rPr>
                <w:rFonts w:ascii="Calibri" w:hAnsi="Calibri"/>
                <w:sz w:val="22"/>
              </w:rPr>
              <w:t>$1,888M</w:t>
            </w:r>
          </w:p>
        </w:tc>
        <w:tc>
          <w:tcPr>
            <w:tcW w:type="dxa" w:w="1080"/>
          </w:tcPr>
          <w:p>
            <w:r>
              <w:rPr>
                <w:rFonts w:ascii="Calibri" w:hAnsi="Calibri"/>
                <w:sz w:val="22"/>
              </w:rPr>
              <w:t>+0.1%</w:t>
            </w:r>
          </w:p>
        </w:tc>
        <w:tc>
          <w:tcPr>
            <w:tcW w:type="dxa" w:w="1080"/>
          </w:tcPr>
          <w:p>
            <w:r>
              <w:rPr>
                <w:rFonts w:ascii="Calibri" w:hAnsi="Calibri"/>
                <w:sz w:val="22"/>
              </w:rPr>
              <w:t>$1,830M–$1,930M (mid: $1,880M)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Non-GAAP EPS — Q2 2026</w:t>
            </w:r>
          </w:p>
        </w:tc>
        <w:tc>
          <w:tcPr>
            <w:tcW w:type="dxa" w:w="1080"/>
          </w:tcPr>
          <w:p>
            <w:r>
              <w:rPr>
                <w:rFonts w:ascii="Calibri" w:hAnsi="Calibri"/>
                <w:sz w:val="22"/>
              </w:rPr>
              <w:t>$0.745</w:t>
            </w:r>
          </w:p>
        </w:tc>
        <w:tc>
          <w:tcPr>
            <w:tcW w:type="dxa" w:w="1080"/>
          </w:tcPr>
          <w:p>
            <w:r>
              <w:rPr>
                <w:rFonts w:ascii="Calibri" w:hAnsi="Calibri"/>
                <w:sz w:val="22"/>
              </w:rPr>
              <w:t>$0.747</w:t>
            </w:r>
          </w:p>
        </w:tc>
        <w:tc>
          <w:tcPr>
            <w:tcW w:type="dxa" w:w="1080"/>
          </w:tcPr>
          <w:p>
            <w:r>
              <w:rPr>
                <w:rFonts w:ascii="Calibri" w:hAnsi="Calibri"/>
                <w:sz w:val="22"/>
              </w:rPr>
              <w:t>+0.3%</w:t>
            </w:r>
          </w:p>
        </w:tc>
        <w:tc>
          <w:tcPr>
            <w:tcW w:type="dxa" w:w="1080"/>
          </w:tcPr>
          <w:p>
            <w:r>
              <w:rPr>
                <w:rFonts w:ascii="Calibri" w:hAnsi="Calibri"/>
                <w:sz w:val="22"/>
              </w:rPr>
              <w:t>$0.72–$0.76 (mid: $0.74)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w:t>
            </w:r>
          </w:p>
        </w:tc>
      </w:tr>
      <w:tr>
        <w:tc>
          <w:tcPr>
            <w:tcW w:type="dxa" w:w="1080"/>
          </w:tcPr>
          <w:p>
            <w:r>
              <w:rPr>
                <w:rFonts w:ascii="Calibri" w:hAnsi="Calibri"/>
                <w:sz w:val="22"/>
              </w:rPr>
              <w:t>Total Billings — FY 2026</w:t>
            </w:r>
          </w:p>
        </w:tc>
        <w:tc>
          <w:tcPr>
            <w:tcW w:type="dxa" w:w="1080"/>
          </w:tcPr>
          <w:p>
            <w:r>
              <w:rPr>
                <w:rFonts w:ascii="Calibri" w:hAnsi="Calibri"/>
                <w:sz w:val="22"/>
              </w:rPr>
              <w:t>$8,937M</w:t>
            </w:r>
          </w:p>
        </w:tc>
        <w:tc>
          <w:tcPr>
            <w:tcW w:type="dxa" w:w="1080"/>
          </w:tcPr>
          <w:p>
            <w:r>
              <w:rPr>
                <w:rFonts w:ascii="Calibri" w:hAnsi="Calibri"/>
                <w:sz w:val="22"/>
              </w:rPr>
              <w:t>$8,942M</w:t>
            </w:r>
          </w:p>
        </w:tc>
        <w:tc>
          <w:tcPr>
            <w:tcW w:type="dxa" w:w="1080"/>
          </w:tcPr>
          <w:p>
            <w:r>
              <w:rPr>
                <w:rFonts w:ascii="Calibri" w:hAnsi="Calibri"/>
                <w:sz w:val="22"/>
              </w:rPr>
              <w:t>+0.1%</w:t>
            </w:r>
          </w:p>
        </w:tc>
        <w:tc>
          <w:tcPr>
            <w:tcW w:type="dxa" w:w="1080"/>
          </w:tcPr>
          <w:p>
            <w:r>
              <w:rPr>
                <w:rFonts w:ascii="Calibri" w:hAnsi="Calibri"/>
                <w:sz w:val="22"/>
              </w:rPr>
              <w:t>$8,800M–$9,100M (mid: $8,950M)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Total Revenue — FY 2026</w:t>
            </w:r>
          </w:p>
        </w:tc>
        <w:tc>
          <w:tcPr>
            <w:tcW w:type="dxa" w:w="1080"/>
          </w:tcPr>
          <w:p>
            <w:r>
              <w:rPr>
                <w:rFonts w:ascii="Calibri" w:hAnsi="Calibri"/>
                <w:sz w:val="22"/>
              </w:rPr>
              <w:t>$7,802M</w:t>
            </w:r>
          </w:p>
        </w:tc>
        <w:tc>
          <w:tcPr>
            <w:tcW w:type="dxa" w:w="1080"/>
          </w:tcPr>
          <w:p>
            <w:r>
              <w:rPr>
                <w:rFonts w:ascii="Calibri" w:hAnsi="Calibri"/>
                <w:sz w:val="22"/>
              </w:rPr>
              <w:t>$7,804M</w:t>
            </w:r>
          </w:p>
        </w:tc>
        <w:tc>
          <w:tcPr>
            <w:tcW w:type="dxa" w:w="1080"/>
          </w:tcPr>
          <w:p>
            <w:r>
              <w:rPr>
                <w:rFonts w:ascii="Calibri" w:hAnsi="Calibri"/>
                <w:sz w:val="22"/>
              </w:rPr>
              <w:t>+0.0%</w:t>
            </w:r>
          </w:p>
        </w:tc>
        <w:tc>
          <w:tcPr>
            <w:tcW w:type="dxa" w:w="1080"/>
          </w:tcPr>
          <w:p>
            <w:r>
              <w:rPr>
                <w:rFonts w:ascii="Calibri" w:hAnsi="Calibri"/>
                <w:sz w:val="22"/>
              </w:rPr>
              <w:t>$7,710M–$7,870M (mid: $7,790M)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Non-GAAP EPS — FY 2026</w:t>
            </w:r>
          </w:p>
        </w:tc>
        <w:tc>
          <w:tcPr>
            <w:tcW w:type="dxa" w:w="1080"/>
          </w:tcPr>
          <w:p>
            <w:r>
              <w:rPr>
                <w:rFonts w:ascii="Calibri" w:hAnsi="Calibri"/>
                <w:sz w:val="22"/>
              </w:rPr>
              <w:t>$3.149</w:t>
            </w:r>
          </w:p>
        </w:tc>
        <w:tc>
          <w:tcPr>
            <w:tcW w:type="dxa" w:w="1080"/>
          </w:tcPr>
          <w:p>
            <w:r>
              <w:rPr>
                <w:rFonts w:ascii="Calibri" w:hAnsi="Calibri"/>
                <w:sz w:val="22"/>
              </w:rPr>
              <w:t>$3.156</w:t>
            </w:r>
          </w:p>
        </w:tc>
        <w:tc>
          <w:tcPr>
            <w:tcW w:type="dxa" w:w="1080"/>
          </w:tcPr>
          <w:p>
            <w:r>
              <w:rPr>
                <w:rFonts w:ascii="Calibri" w:hAnsi="Calibri"/>
                <w:sz w:val="22"/>
              </w:rPr>
              <w:t>+0.2%</w:t>
            </w:r>
          </w:p>
        </w:tc>
        <w:tc>
          <w:tcPr>
            <w:tcW w:type="dxa" w:w="1080"/>
          </w:tcPr>
          <w:p>
            <w:r>
              <w:rPr>
                <w:rFonts w:ascii="Calibri" w:hAnsi="Calibri"/>
                <w:sz w:val="22"/>
              </w:rPr>
              <w:t>$3.10–$3.16 (mid: $3.13)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w:t>
            </w:r>
          </w:p>
        </w:tc>
      </w:tr>
      <w:tr>
        <w:tc>
          <w:tcPr>
            <w:tcW w:type="dxa" w:w="1080"/>
          </w:tcPr>
          <w:p>
            <w:r>
              <w:rPr>
                <w:rFonts w:ascii="Calibri" w:hAnsi="Calibri"/>
                <w:sz w:val="22"/>
              </w:rPr>
              <w:t>Product Revenue — Q2 2026</w:t>
            </w:r>
          </w:p>
        </w:tc>
        <w:tc>
          <w:tcPr>
            <w:tcW w:type="dxa" w:w="1080"/>
          </w:tcPr>
          <w:p>
            <w:r>
              <w:rPr>
                <w:rFonts w:ascii="Calibri" w:hAnsi="Calibri"/>
                <w:sz w:val="22"/>
              </w:rPr>
              <w:t>$637M</w:t>
            </w:r>
          </w:p>
        </w:tc>
        <w:tc>
          <w:tcPr>
            <w:tcW w:type="dxa" w:w="1080"/>
          </w:tcPr>
          <w:p>
            <w:r>
              <w:rPr>
                <w:rFonts w:ascii="Calibri" w:hAnsi="Calibri"/>
                <w:sz w:val="22"/>
              </w:rPr>
              <w:t>$639M</w:t>
            </w:r>
          </w:p>
        </w:tc>
        <w:tc>
          <w:tcPr>
            <w:tcW w:type="dxa" w:w="1080"/>
          </w:tcPr>
          <w:p>
            <w:r>
              <w:rPr>
                <w:rFonts w:ascii="Calibri" w:hAnsi="Calibri"/>
                <w:sz w:val="22"/>
              </w:rPr>
              <w:t>+0.3%</w:t>
            </w:r>
          </w:p>
        </w:tc>
        <w:tc>
          <w:tcPr>
            <w:tcW w:type="dxa" w:w="1080"/>
          </w:tcPr>
          <w:p>
            <w:r>
              <w:rPr>
                <w:rFonts w:ascii="Calibri" w:hAnsi="Calibri"/>
                <w:sz w:val="22"/>
              </w:rPr>
              <w:t>N/A (no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Service Revenue — Q2 2026</w:t>
            </w:r>
          </w:p>
        </w:tc>
        <w:tc>
          <w:tcPr>
            <w:tcW w:type="dxa" w:w="1080"/>
          </w:tcPr>
          <w:p>
            <w:r>
              <w:rPr>
                <w:rFonts w:ascii="Calibri" w:hAnsi="Calibri"/>
                <w:sz w:val="22"/>
              </w:rPr>
              <w:t>$1,249M</w:t>
            </w:r>
          </w:p>
        </w:tc>
        <w:tc>
          <w:tcPr>
            <w:tcW w:type="dxa" w:w="1080"/>
          </w:tcPr>
          <w:p>
            <w:r>
              <w:rPr>
                <w:rFonts w:ascii="Calibri" w:hAnsi="Calibri"/>
                <w:sz w:val="22"/>
              </w:rPr>
              <w:t>$1,249M</w:t>
            </w:r>
          </w:p>
        </w:tc>
        <w:tc>
          <w:tcPr>
            <w:tcW w:type="dxa" w:w="1080"/>
          </w:tcPr>
          <w:p>
            <w:r>
              <w:rPr>
                <w:rFonts w:ascii="Calibri" w:hAnsi="Calibri"/>
                <w:sz w:val="22"/>
              </w:rPr>
              <w:t>0.0%</w:t>
            </w:r>
          </w:p>
        </w:tc>
        <w:tc>
          <w:tcPr>
            <w:tcW w:type="dxa" w:w="1080"/>
          </w:tcPr>
          <w:p>
            <w:r>
              <w:rPr>
                <w:rFonts w:ascii="Calibri" w:hAnsi="Calibri"/>
                <w:sz w:val="22"/>
              </w:rPr>
              <w:t>N/A (no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Baseline date (May 11, 2026) is 5 trading days after Q1 2026 earnings (May 6, 2026). Estimates have been remarkably stable since the Q1 print, with virtually no revision in either direction — the street is essentially anchored to guidance midpoints. This stability, combined with TD Cowen’s channel-check-driven raise, suggests the risk is skewed to the upside on billings and product revenue.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FTNT has surged </w:t>
      </w:r>
      <w:r>
        <w:rPr>
          <w:rFonts w:ascii="Calibri" w:hAnsi="Calibri"/>
          <w:b/>
          <w:color w:val="525866"/>
          <w:sz w:val="22"/>
        </w:rPr>
        <w:t>+66.7% since the Q1 2026 earnings date (May 6, 2026)</w:t>
      </w:r>
      <w:r>
        <w:rPr>
          <w:rFonts w:ascii="Calibri" w:hAnsi="Calibri"/>
          <w:color w:val="525866"/>
          <w:sz w:val="22"/>
        </w:rPr>
        <w:t xml:space="preserve">, dramatically outperforming BUG (+34.1%) and the S&amp;P 500 (+1.0%) — the move is driven by a combination of estimate revisions (modest) and a significant </w:t>
      </w:r>
      <w:r>
        <w:rPr>
          <w:rFonts w:ascii="Calibri" w:hAnsi="Calibri"/>
          <w:b/>
          <w:color w:val="525866"/>
          <w:sz w:val="22"/>
        </w:rPr>
        <w:t>multiple re-rating</w:t>
      </w:r>
      <w:r>
        <w:rPr>
          <w:rFonts w:ascii="Calibri" w:hAnsi="Calibri"/>
          <w:color w:val="525866"/>
          <w:sz w:val="22"/>
        </w:rPr>
        <w:t xml:space="preserve"> as the market repriced FTNT’s AI data-center exposure and structural SASE opportunity. At current levels (~$150), the stock is pricing in continued execution; any guidance miss would be punished severely given the valuation expansion.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FTNT vs. BUG (Global X Cybersecurity ETF) vs. S&amp;P 500 — Indexed to 100 at Q1 2026 Earnings Date (May 6, 2026). Source: Yahoo Finance.</w:t>
      </w:r>
    </w:p>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May 6, 2026 (Day 0): </w:t>
      </w:r>
      <w:r>
        <w:rPr>
          <w:rFonts w:ascii="Calibri" w:hAnsi="Calibri"/>
          <w:color w:val="525866"/>
          <w:sz w:val="22"/>
        </w:rPr>
        <w:t>Q1 2026 earnings — massive beat across all metrics; stock surged ~+20% the following day to ~$108.</w:t>
      </w:r>
    </w:p>
    <w:p>
      <w:pPr>
        <w:pStyle w:val="ListBullet"/>
        <w:ind w:left="360" w:hanging="360"/>
      </w:pPr>
      <w:r>
        <w:rPr>
          <w:rFonts w:ascii="Calibri" w:hAnsi="Calibri"/>
          <w:b/>
          <w:color w:val="525866"/>
          <w:sz w:val="22"/>
        </w:rPr>
        <w:t xml:space="preserve">May 7–22, 2026: </w:t>
      </w:r>
      <w:r>
        <w:rPr>
          <w:rFonts w:ascii="Calibri" w:hAnsi="Calibri"/>
          <w:color w:val="525866"/>
          <w:sz w:val="22"/>
        </w:rPr>
        <w:t>Continued re-rating as analysts raised price targets (BofA to $180, BTIG to $150, TD Cowen to $160, Citigroup to $115). Stock climbed from ~$108 to ~$134.</w:t>
      </w:r>
    </w:p>
    <w:p>
      <w:pPr>
        <w:pStyle w:val="ListBullet"/>
        <w:ind w:left="360" w:hanging="360"/>
      </w:pPr>
      <w:r>
        <w:rPr>
          <w:rFonts w:ascii="Calibri" w:hAnsi="Calibri"/>
          <w:b/>
          <w:color w:val="525866"/>
          <w:sz w:val="22"/>
        </w:rPr>
        <w:t xml:space="preserve">May 27, 2026: </w:t>
      </w:r>
      <w:r>
        <w:rPr>
          <w:rFonts w:ascii="Calibri" w:hAnsi="Calibri"/>
          <w:color w:val="525866"/>
          <w:sz w:val="22"/>
        </w:rPr>
        <w:t>Brief pullback to ~$128 following ZS earnings (May 26) which showed sales leadership departures — read-through concern on SASE competitive dynamics.</w:t>
      </w:r>
    </w:p>
    <w:p>
      <w:pPr>
        <w:pStyle w:val="ListBullet"/>
        <w:ind w:left="360" w:hanging="360"/>
      </w:pPr>
      <w:r>
        <w:rPr>
          <w:rFonts w:ascii="Calibri" w:hAnsi="Calibri"/>
          <w:b/>
          <w:color w:val="525866"/>
          <w:sz w:val="22"/>
        </w:rPr>
        <w:t xml:space="preserve">May 29 – June 3, 2026: </w:t>
      </w:r>
      <w:r>
        <w:rPr>
          <w:rFonts w:ascii="Calibri" w:hAnsi="Calibri"/>
          <w:color w:val="525866"/>
          <w:sz w:val="22"/>
        </w:rPr>
        <w:t>Sharp rally to ~$149 as PANW reported blowout Q3 results (firewall bookings +40% YoY, SASE ARR +40% YoY) — strong positive read-through for FTNT.</w:t>
      </w:r>
    </w:p>
    <w:p>
      <w:pPr>
        <w:pStyle w:val="ListBullet"/>
        <w:ind w:left="360" w:hanging="360"/>
      </w:pPr>
      <w:r>
        <w:rPr>
          <w:rFonts w:ascii="Calibri" w:hAnsi="Calibri"/>
          <w:b/>
          <w:color w:val="525866"/>
          <w:sz w:val="22"/>
        </w:rPr>
        <w:t xml:space="preserve">June 5–10, 2026: </w:t>
      </w:r>
      <w:r>
        <w:rPr>
          <w:rFonts w:ascii="Calibri" w:hAnsi="Calibri"/>
          <w:color w:val="525866"/>
          <w:sz w:val="22"/>
        </w:rPr>
        <w:t>Pullback to ~$138 on broader market weakness and sector rotation.</w:t>
      </w:r>
    </w:p>
    <w:p>
      <w:pPr>
        <w:pStyle w:val="ListBullet"/>
        <w:ind w:left="360" w:hanging="360"/>
      </w:pPr>
      <w:r>
        <w:rPr>
          <w:rFonts w:ascii="Calibri" w:hAnsi="Calibri"/>
          <w:b/>
          <w:color w:val="525866"/>
          <w:sz w:val="22"/>
        </w:rPr>
        <w:t xml:space="preserve">June 11–July 14, 2026: </w:t>
      </w:r>
      <w:r>
        <w:rPr>
          <w:rFonts w:ascii="Calibri" w:hAnsi="Calibri"/>
          <w:color w:val="525866"/>
          <w:sz w:val="22"/>
        </w:rPr>
        <w:t>Steady grind higher to ~$167 peak, supported by CRWD’s strong Q1 FY27 results (net new ARR +32% YoY) and broader cybersecurity sector strength driven by Mythos AI threat narrative.</w:t>
      </w:r>
    </w:p>
    <w:p>
      <w:pPr>
        <w:pStyle w:val="ListBullet"/>
        <w:ind w:left="360" w:hanging="360"/>
      </w:pPr>
      <w:r>
        <w:rPr>
          <w:rFonts w:ascii="Calibri" w:hAnsi="Calibri"/>
          <w:b/>
          <w:color w:val="525866"/>
          <w:sz w:val="22"/>
        </w:rPr>
        <w:t xml:space="preserve">July 13, 2026: </w:t>
      </w:r>
      <w:r>
        <w:rPr>
          <w:rFonts w:ascii="Calibri" w:hAnsi="Calibri"/>
          <w:color w:val="525866"/>
          <w:sz w:val="22"/>
        </w:rPr>
        <w:t>TD Cowen raised price target to $215 (from $160) citing strong Q2 channel checks — billings tracking to $2.23B vs. guidance midpoint of $2.14B.</w:t>
      </w:r>
    </w:p>
    <w:p>
      <w:pPr>
        <w:pStyle w:val="ListBullet"/>
        <w:ind w:left="360" w:hanging="360"/>
      </w:pPr>
      <w:r>
        <w:rPr>
          <w:rFonts w:ascii="Calibri" w:hAnsi="Calibri"/>
          <w:b/>
          <w:color w:val="525866"/>
          <w:sz w:val="22"/>
        </w:rPr>
        <w:t xml:space="preserve">July 20–July 29, 2026: </w:t>
      </w:r>
      <w:r>
        <w:rPr>
          <w:rFonts w:ascii="Calibri" w:hAnsi="Calibri"/>
          <w:color w:val="525866"/>
          <w:sz w:val="22"/>
        </w:rPr>
        <w:t>Modest pullback to ~$150 ahead of earnings, typical pre-print consolidation after a large run.</w:t>
      </w:r>
    </w:p>
    <w:p>
      <w:r>
        <w:br w:type="page"/>
      </w:r>
    </w:p>
    <w:p>
      <w:pPr>
        <w:pStyle w:val="Heading2"/>
      </w:pPr>
      <w:r>
        <w:rPr>
          <w:rFonts w:ascii="Calibri" w:hAnsi="Calibri"/>
          <w:b/>
          <w:color w:val="3B4259"/>
          <w:sz w:val="28"/>
        </w:rPr>
        <w:t>6. Peer Commentaries — Read-Through for FTNT Q2 2026</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FTNT</w:t>
      </w:r>
      <w:r>
        <w:rPr>
          <w:rFonts w:ascii="Calibri" w:hAnsi="Calibri"/>
          <w:color w:val="525866"/>
          <w:sz w:val="22"/>
        </w:rPr>
        <w:t xml:space="preserve"> — PANW’s blowout firewall and SASE results, CRWD’s accelerating ARR growth, and CSCO’s strong double-digit firewall order growth all validate the AI-driven security demand cycle that drove FTNT’s Q1 beat. The key nuance: ZS’s sales leadership disruption is a company-specific negative, not a market signal, and ZS’s own investor day commentary reinforces the structural Zero Trust tailwind. The Mythos AI threat narrative is a </w:t>
      </w:r>
      <w:r>
        <w:rPr>
          <w:rFonts w:ascii="Calibri" w:hAnsi="Calibri"/>
          <w:b/>
          <w:color w:val="525866"/>
          <w:sz w:val="22"/>
        </w:rPr>
        <w:t>multi-quarter structural tailwind</w:t>
      </w:r>
      <w:r>
        <w:rPr>
          <w:rFonts w:ascii="Calibri" w:hAnsi="Calibri"/>
          <w:color w:val="525866"/>
          <w:sz w:val="22"/>
        </w:rPr>
        <w:t xml:space="preserve"> for the entire sector.</w:t>
      </w:r>
    </w:p>
    <w:p>
      <w:pPr>
        <w:pStyle w:val="Heading3"/>
      </w:pPr>
      <w:r>
        <w:rPr>
          <w:rFonts w:ascii="Calibri" w:hAnsi="Calibri"/>
          <w:b/>
          <w:color w:val="3B4259"/>
          <w:sz w:val="24"/>
        </w:rPr>
        <w:t>Palo Alto Networks (PANW) — Q3 FY2026 Earnings (June 2,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 xml:space="preserve">Firewall demand at decade-high: </w:t>
      </w:r>
      <w:r>
        <w:rPr>
          <w:rFonts w:ascii="Calibri" w:hAnsi="Calibri"/>
          <w:color w:val="525866"/>
          <w:sz w:val="22"/>
        </w:rPr>
        <w:t xml:space="preserve">PANW reported next-generation firewall bookings up </w:t>
      </w:r>
      <w:r>
        <w:rPr>
          <w:rFonts w:ascii="Calibri" w:hAnsi="Calibri"/>
          <w:b/>
          <w:color w:val="525866"/>
          <w:sz w:val="22"/>
        </w:rPr>
        <w:t>nearly 40% YoY</w:t>
      </w:r>
      <w:r>
        <w:rPr>
          <w:rFonts w:ascii="Calibri" w:hAnsi="Calibri"/>
          <w:color w:val="525866"/>
          <w:sz w:val="22"/>
        </w:rPr>
        <w:t xml:space="preserve"> in Q3 — its strongest hardware quarter in a decade. CEO Nikesh Arora stated: “As more traffic traverses networks, more inspection is needed. When more inspection is needed, hardware is the cheapest and fastest throughput mechanism to inspect the data.” This directly validates FTNT’s AI data-center firewall thesis and suggests Q2 product revenue could again surprise to the upside.</w:t>
      </w:r>
    </w:p>
    <w:p>
      <w:pPr>
        <w:pStyle w:val="ListBullet"/>
        <w:ind w:left="360" w:hanging="360"/>
      </w:pPr>
      <w:r>
        <w:rPr>
          <w:rFonts w:ascii="Calibri" w:hAnsi="Calibri"/>
          <w:b/>
          <w:color w:val="525866"/>
          <w:sz w:val="22"/>
        </w:rPr>
        <w:t xml:space="preserve">SASE ARR growing 40% YoY: </w:t>
      </w:r>
      <w:r>
        <w:rPr>
          <w:rFonts w:ascii="Calibri" w:hAnsi="Calibri"/>
          <w:color w:val="525866"/>
          <w:sz w:val="22"/>
        </w:rPr>
        <w:t>PANW’s SASE ARR reached $1.6B, growing 40% YoY — more than double the overall market growth rate. Nearly 50 displacement wins totaling $200M in contract value YTD. This confirms the SASE market is expanding rapidly, a positive read-through for FTNT’s Unified SASE billings.</w:t>
      </w:r>
    </w:p>
    <w:p>
      <w:pPr>
        <w:pStyle w:val="ListBullet"/>
        <w:ind w:left="360" w:hanging="360"/>
      </w:pPr>
      <w:r>
        <w:rPr>
          <w:rFonts w:ascii="Calibri" w:hAnsi="Calibri"/>
          <w:b/>
          <w:color w:val="525866"/>
          <w:sz w:val="22"/>
        </w:rPr>
        <w:t xml:space="preserve">Mythos as a structural tailwind: </w:t>
      </w:r>
      <w:r>
        <w:rPr>
          <w:rFonts w:ascii="Calibri" w:hAnsi="Calibri"/>
          <w:color w:val="525866"/>
          <w:sz w:val="22"/>
        </w:rPr>
        <w:t>Arora declared: “Mythos has increased the terminal value of the entire cybersecurity industry.” He expects “robust growth” that “will continue for longer” — not a one-quarter windfall. This supports FTNT management’s characterization of AI demand as multi-quarter and structural.</w:t>
      </w:r>
    </w:p>
    <w:p>
      <w:pPr>
        <w:pStyle w:val="ListBullet"/>
        <w:ind w:left="360" w:hanging="360"/>
      </w:pPr>
      <w:r>
        <w:rPr>
          <w:rFonts w:ascii="Calibri" w:hAnsi="Calibri"/>
          <w:b/>
          <w:color w:val="525866"/>
          <w:sz w:val="22"/>
        </w:rPr>
        <w:t xml:space="preserve">AI data center new buyer class: </w:t>
      </w:r>
      <w:r>
        <w:rPr>
          <w:rFonts w:ascii="Calibri" w:hAnsi="Calibri"/>
          <w:color w:val="525866"/>
          <w:sz w:val="22"/>
        </w:rPr>
        <w:t>PANW highlighted “new classes of buyers” including sovereign infrastructure providers and AI labs as early adopters of next-gen firewalls — directly echoing FTNT’s commentary on sovereign SASE and AI data-center deployments.</w:t>
      </w:r>
    </w:p>
    <w:p>
      <w:pPr>
        <w:pStyle w:val="ListBullet"/>
        <w:ind w:left="360" w:hanging="360"/>
      </w:pPr>
      <w:r>
        <w:rPr>
          <w:rFonts w:ascii="Calibri" w:hAnsi="Calibri"/>
          <w:b/>
          <w:color w:val="525866"/>
          <w:sz w:val="22"/>
        </w:rPr>
        <w:t xml:space="preserve">Raised full-year guidance: </w:t>
      </w:r>
      <w:r>
        <w:rPr>
          <w:rFonts w:ascii="Calibri" w:hAnsi="Calibri"/>
          <w:color w:val="525866"/>
          <w:sz w:val="22"/>
        </w:rPr>
        <w:t>PANW raised FY2026 guidance across all metrics, citing Q3 organic bookings acceleration and strong Q4 pipeline. A peer raising guidance heading into FTNT’s print is a positive setup signal.</w:t>
      </w:r>
    </w:p>
    <w:p>
      <w:pPr>
        <w:pStyle w:val="Heading3"/>
      </w:pPr>
      <w:r>
        <w:rPr>
          <w:rFonts w:ascii="Calibri" w:hAnsi="Calibri"/>
          <w:b/>
          <w:color w:val="3B4259"/>
          <w:sz w:val="24"/>
        </w:rPr>
        <w:t>Zscaler (ZS) — Q3 FY2026 Earnings (May 26, 2026)</w:t>
      </w:r>
    </w:p>
    <w:p>
      <w:r>
        <w:rPr>
          <w:rFonts w:ascii="Calibri" w:hAnsi="Calibri"/>
          <w:b/>
          <w:color w:val="525866"/>
          <w:sz w:val="22"/>
        </w:rPr>
        <w:t xml:space="preserve">Read-Through Signal: </w:t>
      </w:r>
      <w:r>
        <w:rPr>
          <w:rFonts w:ascii="Calibri" w:hAnsi="Calibri"/>
          <w:i/>
          <w:color w:val="525866"/>
          <w:sz w:val="22"/>
        </w:rPr>
        <w:t>MIXED — Market Positive, Company-Specific Negative</w:t>
      </w:r>
    </w:p>
    <w:p>
      <w:pPr>
        <w:pStyle w:val="ListBullet"/>
        <w:ind w:left="360" w:hanging="360"/>
      </w:pPr>
      <w:r>
        <w:rPr>
          <w:rFonts w:ascii="Calibri" w:hAnsi="Calibri"/>
          <w:b/>
          <w:color w:val="525866"/>
          <w:sz w:val="22"/>
        </w:rPr>
        <w:t xml:space="preserve">Sales leadership disruption — FTNT-specific opportunity: </w:t>
      </w:r>
      <w:r>
        <w:rPr>
          <w:rFonts w:ascii="Calibri" w:hAnsi="Calibri"/>
          <w:color w:val="525866"/>
          <w:sz w:val="22"/>
        </w:rPr>
        <w:t>ZS disclosed that two sales leaders departed at the end of Q3, causing management to take a “prudent approach” to Q4 guidance. This is a company-specific negative for ZS, but could represent a competitive opportunity for FTNT in SASE deals where ZS sales coverage is disrupted.</w:t>
      </w:r>
    </w:p>
    <w:p>
      <w:pPr>
        <w:pStyle w:val="ListBullet"/>
        <w:ind w:left="360" w:hanging="360"/>
      </w:pPr>
      <w:r>
        <w:rPr>
          <w:rFonts w:ascii="Calibri" w:hAnsi="Calibri"/>
          <w:b/>
          <w:color w:val="525866"/>
          <w:sz w:val="22"/>
        </w:rPr>
        <w:t xml:space="preserve">Demand environment remains strong: </w:t>
      </w:r>
      <w:r>
        <w:rPr>
          <w:rFonts w:ascii="Calibri" w:hAnsi="Calibri"/>
          <w:color w:val="525866"/>
          <w:sz w:val="22"/>
        </w:rPr>
        <w:t>ZS reported ARR growing 25% YoY, net new ARR of $166M (+24% YoY), and revenue of $850M (+25% YoY) — all exceeding guidance. The underlying demand signal is positive for the sector.</w:t>
      </w:r>
    </w:p>
    <w:p>
      <w:pPr>
        <w:pStyle w:val="ListBullet"/>
        <w:ind w:left="360" w:hanging="360"/>
      </w:pPr>
      <w:r>
        <w:rPr>
          <w:rFonts w:ascii="Calibri" w:hAnsi="Calibri"/>
          <w:b/>
          <w:color w:val="525866"/>
          <w:sz w:val="22"/>
        </w:rPr>
        <w:t xml:space="preserve">Mythos driving inbound surge: </w:t>
      </w:r>
      <w:r>
        <w:rPr>
          <w:rFonts w:ascii="Calibri" w:hAnsi="Calibri"/>
          <w:color w:val="525866"/>
          <w:sz w:val="22"/>
        </w:rPr>
        <w:t>CEO Jay Chaudhry stated: “Every CIO, every CISO I talk to is talking about protecting against Mythos” and “We’ve never seen so many inbound calls come in so quickly.” This validates the elevated threat environment FTNT management cited as a structural tailwind.</w:t>
      </w:r>
    </w:p>
    <w:p>
      <w:pPr>
        <w:pStyle w:val="ListBullet"/>
        <w:ind w:left="360" w:hanging="360"/>
      </w:pPr>
      <w:r>
        <w:rPr>
          <w:rFonts w:ascii="Calibri" w:hAnsi="Calibri"/>
          <w:b/>
          <w:color w:val="525866"/>
          <w:sz w:val="22"/>
        </w:rPr>
        <w:t xml:space="preserve">Zero Trust Branch ARR tripled YoY: </w:t>
      </w:r>
      <w:r>
        <w:rPr>
          <w:rFonts w:ascii="Calibri" w:hAnsi="Calibri"/>
          <w:color w:val="525866"/>
          <w:sz w:val="22"/>
        </w:rPr>
        <w:t>ZS’s Zero Trust Branch ARR approximately tripled YoY — a product that competes with FTNT’s SD-WAN/SASE bundle. Strong ZS branch growth confirms the market is expanding, though it also signals competitive intensity.</w:t>
      </w:r>
    </w:p>
    <w:p>
      <w:pPr>
        <w:pStyle w:val="ListBullet"/>
        <w:ind w:left="360" w:hanging="360"/>
      </w:pPr>
      <w:r>
        <w:rPr>
          <w:rFonts w:ascii="Calibri" w:hAnsi="Calibri"/>
          <w:b/>
          <w:color w:val="525866"/>
          <w:sz w:val="22"/>
        </w:rPr>
        <w:t xml:space="preserve">FY27 guidance of 16–17% growth: </w:t>
      </w:r>
      <w:r>
        <w:rPr>
          <w:rFonts w:ascii="Calibri" w:hAnsi="Calibri"/>
          <w:color w:val="525866"/>
          <w:sz w:val="22"/>
        </w:rPr>
        <w:t>ZS guided FY27 ARR and revenue growth of 16–17%, taking a “tempered view” on new logos. This is below FTNT’s growth trajectory and suggests FTNT may be gaining share in the SASE market.</w:t>
      </w:r>
    </w:p>
    <w:p>
      <w:pPr>
        <w:pStyle w:val="Heading3"/>
      </w:pPr>
      <w:r>
        <w:rPr>
          <w:rFonts w:ascii="Calibri" w:hAnsi="Calibri"/>
          <w:b/>
          <w:color w:val="3B4259"/>
          <w:sz w:val="24"/>
        </w:rPr>
        <w:t>Zscaler (ZS) — Zenith Live Investor Session (June 9, 2026)</w:t>
      </w:r>
    </w:p>
    <w:p>
      <w:r>
        <w:rPr>
          <w:rFonts w:ascii="Calibri" w:hAnsi="Calibri"/>
          <w:b/>
          <w:color w:val="525866"/>
          <w:sz w:val="22"/>
        </w:rPr>
        <w:t xml:space="preserve">Read-Through Signal: </w:t>
      </w:r>
      <w:r>
        <w:rPr>
          <w:rFonts w:ascii="Calibri" w:hAnsi="Calibri"/>
          <w:b/>
          <w:color w:val="30A46C"/>
          <w:sz w:val="22"/>
        </w:rPr>
        <w:t>POSITIVE (Structural Demand Validation)</w:t>
      </w:r>
    </w:p>
    <w:p>
      <w:pPr>
        <w:pStyle w:val="ListBullet"/>
        <w:ind w:left="360" w:hanging="360"/>
      </w:pPr>
      <w:r>
        <w:rPr>
          <w:rFonts w:ascii="Calibri" w:hAnsi="Calibri"/>
          <w:b/>
          <w:color w:val="525866"/>
          <w:sz w:val="22"/>
        </w:rPr>
        <w:t xml:space="preserve">Mythos urgency at board level: </w:t>
      </w:r>
      <w:r>
        <w:rPr>
          <w:rFonts w:ascii="Calibri" w:hAnsi="Calibri"/>
          <w:color w:val="525866"/>
          <w:sz w:val="22"/>
        </w:rPr>
        <w:t>Chaudhry noted: “The urgency for Mythos is actually higher in many ways [than COVID]. Almost every CIO I’ve talked to, a CISO said, we’ve got a task force. We are reporting the Board every week or every 2 weeks on the progress they make.” This board-level urgency translates into accelerated security budget approvals — a positive for FTNT’s enterprise pipeline.</w:t>
      </w:r>
    </w:p>
    <w:p>
      <w:pPr>
        <w:pStyle w:val="ListBullet"/>
        <w:ind w:left="360" w:hanging="360"/>
      </w:pPr>
      <w:r>
        <w:rPr>
          <w:rFonts w:ascii="Calibri" w:hAnsi="Calibri"/>
          <w:b/>
          <w:color w:val="525866"/>
          <w:sz w:val="22"/>
        </w:rPr>
        <w:t xml:space="preserve">AI security budgets are incremental: </w:t>
      </w:r>
      <w:r>
        <w:rPr>
          <w:rFonts w:ascii="Calibri" w:hAnsi="Calibri"/>
          <w:color w:val="525866"/>
          <w:sz w:val="22"/>
        </w:rPr>
        <w:t>Multiple CISOs at the event confirmed that AI security spending is “not cutting anything — it’s an addition to the budget.” This incremental budget dynamic supports FTNT’s thesis that AI is expanding the TAM rather than cannibalizing existing security spend.</w:t>
      </w:r>
    </w:p>
    <w:p>
      <w:pPr>
        <w:pStyle w:val="ListBullet"/>
        <w:ind w:left="360" w:hanging="360"/>
      </w:pPr>
      <w:r>
        <w:rPr>
          <w:rFonts w:ascii="Calibri" w:hAnsi="Calibri"/>
          <w:b/>
          <w:color w:val="525866"/>
          <w:sz w:val="22"/>
        </w:rPr>
        <w:t xml:space="preserve">Firewall-to-Zero Trust transition accelerating: </w:t>
      </w:r>
      <w:r>
        <w:rPr>
          <w:rFonts w:ascii="Calibri" w:hAnsi="Calibri"/>
          <w:color w:val="525866"/>
          <w:sz w:val="22"/>
        </w:rPr>
        <w:t>Chaudhry stated: “I do believe that Mythos is becoming an accelerant for adoption of Zero Trust.” While ZS frames this as a negative for firewall vendors, FTNT’s integrated SASE+firewall approach (FortiOS across all form factors) positions it to capture both the firewall refresh and the SASE transition.</w:t>
      </w:r>
    </w:p>
    <w:p>
      <w:pPr>
        <w:pStyle w:val="Heading3"/>
      </w:pPr>
      <w:r>
        <w:rPr>
          <w:rFonts w:ascii="Calibri" w:hAnsi="Calibri"/>
          <w:b/>
          <w:color w:val="3B4259"/>
          <w:sz w:val="24"/>
        </w:rPr>
        <w:t>CrowdStrike (CRWD) — Q1 FY2027 Earnings (June 3, 2026)</w:t>
      </w:r>
    </w:p>
    <w:p>
      <w:r>
        <w:rPr>
          <w:rFonts w:ascii="Calibri" w:hAnsi="Calibri"/>
          <w:b/>
          <w:color w:val="525866"/>
          <w:sz w:val="22"/>
        </w:rPr>
        <w:t xml:space="preserve">Read-Through Signal: </w:t>
      </w:r>
      <w:r>
        <w:rPr>
          <w:rFonts w:ascii="Calibri" w:hAnsi="Calibri"/>
          <w:b/>
          <w:color w:val="30A46C"/>
          <w:sz w:val="22"/>
        </w:rPr>
        <w:t>POSITIVE (Demand Environment)</w:t>
      </w:r>
    </w:p>
    <w:p>
      <w:pPr>
        <w:pStyle w:val="ListBullet"/>
        <w:ind w:left="360" w:hanging="360"/>
      </w:pPr>
      <w:r>
        <w:rPr>
          <w:rFonts w:ascii="Calibri" w:hAnsi="Calibri"/>
          <w:b/>
          <w:color w:val="525866"/>
          <w:sz w:val="22"/>
        </w:rPr>
        <w:t xml:space="preserve">Record net new ARR, accelerating growth: </w:t>
      </w:r>
      <w:r>
        <w:rPr>
          <w:rFonts w:ascii="Calibri" w:hAnsi="Calibri"/>
          <w:color w:val="525866"/>
          <w:sz w:val="22"/>
        </w:rPr>
        <w:t>CRWD reported record Q1 net new ARR of $256M (+32% YoY), with ending ARR of $5.51B (+24% YoY) — growth accelerating for the fourth consecutive quarter. CEO George Kurtz described “a bit of panic spending” driven by Mythos, likening it to “a Y2K moment for security.” This panic-spending dynamic is a positive read-through for FTNT’s Q2 pipeline.</w:t>
      </w:r>
    </w:p>
    <w:p>
      <w:pPr>
        <w:pStyle w:val="ListBullet"/>
        <w:ind w:left="360" w:hanging="360"/>
      </w:pPr>
      <w:r>
        <w:rPr>
          <w:rFonts w:ascii="Calibri" w:hAnsi="Calibri"/>
          <w:b/>
          <w:color w:val="525866"/>
          <w:sz w:val="22"/>
        </w:rPr>
        <w:t xml:space="preserve">AI driving structural, compounding demand: </w:t>
      </w:r>
      <w:r>
        <w:rPr>
          <w:rFonts w:ascii="Calibri" w:hAnsi="Calibri"/>
          <w:color w:val="525866"/>
          <w:sz w:val="22"/>
        </w:rPr>
        <w:t>Kurtz stated: “The more AI an organization adopts, the more cybersecurity it requires” and “AI driving structural demand for cybersecurity that compounds, not decelerates.” This directly supports FTNT’s thesis that AI data-center deployments are a multi-quarter, durable growth driver.</w:t>
      </w:r>
    </w:p>
    <w:p>
      <w:pPr>
        <w:pStyle w:val="ListBullet"/>
        <w:ind w:left="360" w:hanging="360"/>
      </w:pPr>
      <w:r>
        <w:rPr>
          <w:rFonts w:ascii="Calibri" w:hAnsi="Calibri"/>
          <w:b/>
          <w:color w:val="525866"/>
          <w:sz w:val="22"/>
        </w:rPr>
        <w:t xml:space="preserve">Raised full-year net new ARR guidance by 500+ bps: </w:t>
      </w:r>
      <w:r>
        <w:rPr>
          <w:rFonts w:ascii="Calibri" w:hAnsi="Calibri"/>
          <w:color w:val="525866"/>
          <w:sz w:val="22"/>
        </w:rPr>
        <w:t>CRWD raised FY27 net new ARR growth expectations by more than 500 basis points, citing record Q2 pipeline. A peer raising guidance this aggressively is a strong positive signal for the sector heading into FTNT’s print.</w:t>
      </w:r>
    </w:p>
    <w:p>
      <w:pPr>
        <w:pStyle w:val="ListBullet"/>
        <w:ind w:left="360" w:hanging="360"/>
      </w:pPr>
      <w:r>
        <w:rPr>
          <w:rFonts w:ascii="Calibri" w:hAnsi="Calibri"/>
          <w:b/>
          <w:color w:val="525866"/>
          <w:sz w:val="22"/>
        </w:rPr>
        <w:t xml:space="preserve">Cybersecurity as “critical AI infrastructure”: </w:t>
      </w:r>
      <w:r>
        <w:rPr>
          <w:rFonts w:ascii="Calibri" w:hAnsi="Calibri"/>
          <w:color w:val="525866"/>
          <w:sz w:val="22"/>
        </w:rPr>
        <w:t>CFO Burt Podbere stated: “The Mythos moment marked an inflection point for the industry, confirming that cybersecurity is not just foundational to AI adoption, it is critical AI infrastructure.” This re-framing of cybersecurity as infrastructure (rather than discretionary IT spend) supports premium valuation multiples for FTNT.</w:t>
      </w:r>
    </w:p>
    <w:p>
      <w:pPr>
        <w:pStyle w:val="Heading3"/>
      </w:pPr>
      <w:r>
        <w:rPr>
          <w:rFonts w:ascii="Calibri" w:hAnsi="Calibri"/>
          <w:b/>
          <w:color w:val="3B4259"/>
          <w:sz w:val="24"/>
        </w:rPr>
        <w:t>Cisco Systems (CSCO) — Q3 FY2026 Earnings (May 13, 2026)</w:t>
      </w:r>
    </w:p>
    <w:p>
      <w:r>
        <w:rPr>
          <w:rFonts w:ascii="Calibri" w:hAnsi="Calibri"/>
          <w:b/>
          <w:color w:val="525866"/>
          <w:sz w:val="22"/>
        </w:rPr>
        <w:t xml:space="preserve">Read-Through Signal: </w:t>
      </w:r>
      <w:r>
        <w:rPr>
          <w:rFonts w:ascii="Calibri" w:hAnsi="Calibri"/>
          <w:b/>
          <w:color w:val="30A46C"/>
          <w:sz w:val="22"/>
        </w:rPr>
        <w:t>POSITIVE (Firewall &amp; Network Security Demand)</w:t>
      </w:r>
    </w:p>
    <w:p>
      <w:pPr>
        <w:pStyle w:val="ListBullet"/>
        <w:ind w:left="360" w:hanging="360"/>
      </w:pPr>
      <w:r>
        <w:rPr>
          <w:rFonts w:ascii="Calibri" w:hAnsi="Calibri"/>
          <w:b/>
          <w:color w:val="525866"/>
          <w:sz w:val="22"/>
        </w:rPr>
        <w:t xml:space="preserve">Strong double-digit firewall order growth: </w:t>
      </w:r>
      <w:r>
        <w:rPr>
          <w:rFonts w:ascii="Calibri" w:hAnsi="Calibri"/>
          <w:color w:val="525866"/>
          <w:sz w:val="22"/>
        </w:rPr>
        <w:t>CSCO reported “strong double-digit order growth year-over-year in firewalls” in Q3. CEO Chuck Robbins stated: “The firewall results are really giving me a lot of optimism right now. We got a several quarter run of big win rates.” This broad-based firewall demand validates FTNT’s product revenue strength.</w:t>
      </w:r>
    </w:p>
    <w:p>
      <w:pPr>
        <w:pStyle w:val="ListBullet"/>
        <w:ind w:left="360" w:hanging="360"/>
      </w:pPr>
      <w:r>
        <w:rPr>
          <w:rFonts w:ascii="Calibri" w:hAnsi="Calibri"/>
          <w:b/>
          <w:color w:val="525866"/>
          <w:sz w:val="22"/>
        </w:rPr>
        <w:t xml:space="preserve">Total product orders +35% YoY: </w:t>
      </w:r>
      <w:r>
        <w:rPr>
          <w:rFonts w:ascii="Calibri" w:hAnsi="Calibri"/>
          <w:color w:val="525866"/>
          <w:sz w:val="22"/>
        </w:rPr>
        <w:t>CSCO’s total product orders grew 35% YoY in Q3 (ex-hyperscaler: +19% YoY), with all geographies showing double-digit and accelerating growth. Americas +35%, EMEA +39%, APJC +25% — the geographic breadth is a positive read-through for FTNT’s global demand.</w:t>
      </w:r>
    </w:p>
    <w:p>
      <w:pPr>
        <w:pStyle w:val="ListBullet"/>
        <w:ind w:left="360" w:hanging="360"/>
      </w:pPr>
      <w:r>
        <w:rPr>
          <w:rFonts w:ascii="Calibri" w:hAnsi="Calibri"/>
          <w:b/>
          <w:color w:val="525866"/>
          <w:sz w:val="22"/>
        </w:rPr>
        <w:t xml:space="preserve">AI driving network modernization urgency: </w:t>
      </w:r>
      <w:r>
        <w:rPr>
          <w:rFonts w:ascii="Calibri" w:hAnsi="Calibri"/>
          <w:color w:val="525866"/>
          <w:sz w:val="22"/>
        </w:rPr>
        <w:t>CSCO noted customers are “preparing for inferencing and agentic applications” and that “the network is incredibly important” for AI workloads. Enterprise data center switching orders were up 40%+ — the same AI infrastructure build-out driving FTNT’s product revenue.</w:t>
      </w:r>
    </w:p>
    <w:p>
      <w:pPr>
        <w:pStyle w:val="ListBullet"/>
        <w:ind w:left="360" w:hanging="360"/>
      </w:pPr>
      <w:r>
        <w:rPr>
          <w:rFonts w:ascii="Calibri" w:hAnsi="Calibri"/>
          <w:b/>
          <w:color w:val="525866"/>
          <w:sz w:val="22"/>
        </w:rPr>
        <w:t xml:space="preserve">End-of-life risk driving refresh: </w:t>
      </w:r>
      <w:r>
        <w:rPr>
          <w:rFonts w:ascii="Calibri" w:hAnsi="Calibri"/>
          <w:color w:val="525866"/>
          <w:sz w:val="22"/>
        </w:rPr>
        <w:t>CSCO management noted customers are focused on “modernizing their infrastructure so that they don’t have this risk from technology that just can’t be patched because it’s well past last day of support.” This end-of-support refresh dynamic is a tailwind for FTNT’s installed base.</w:t>
      </w:r>
    </w:p>
    <w:p>
      <w:pPr>
        <w:pStyle w:val="ListBullet"/>
        <w:ind w:left="360" w:hanging="360"/>
      </w:pPr>
      <w:r>
        <w:rPr>
          <w:rFonts w:ascii="Calibri" w:hAnsi="Calibri"/>
          <w:b/>
          <w:color w:val="525866"/>
          <w:sz w:val="22"/>
        </w:rPr>
        <w:t xml:space="preserve">Pricing actions adding 4–5 points to order growth: </w:t>
      </w:r>
      <w:r>
        <w:rPr>
          <w:rFonts w:ascii="Calibri" w:hAnsi="Calibri"/>
          <w:color w:val="525866"/>
          <w:sz w:val="22"/>
        </w:rPr>
        <w:t>CSCO noted that price increases contributed 4–5 percentage points to ex-webscale order growth in Q3. FTNT has similarly implemented low single-digit price increases — this confirms the sector-wide pricing environment is supportive of gross margin maintenance.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TD Cowen’s July 13 channel-check-driven price target raise to $215, which signals Q2 is tracking </w:t>
      </w:r>
      <w:r>
        <w:rPr>
          <w:rFonts w:ascii="Calibri" w:hAnsi="Calibri"/>
          <w:b/>
          <w:color w:val="525866"/>
          <w:sz w:val="22"/>
        </w:rPr>
        <w:t>meaningfully ahead of guidance midpoints</w:t>
      </w:r>
      <w:r>
        <w:rPr>
          <w:rFonts w:ascii="Calibri" w:hAnsi="Calibri"/>
          <w:color w:val="525866"/>
          <w:sz w:val="22"/>
        </w:rPr>
        <w:t xml:space="preserve"> — this is the single most actionable pre-print data point. The broader Mythos AI threat narrative has become a sector-wide re-rating catalyst.</w:t>
      </w:r>
    </w:p>
    <w:p>
      <w:pPr>
        <w:pStyle w:val="ListBullet"/>
        <w:ind w:left="360" w:hanging="360"/>
      </w:pPr>
      <w:r>
        <w:rPr>
          <w:rFonts w:ascii="Calibri" w:hAnsi="Calibri"/>
          <w:b/>
          <w:color w:val="525866"/>
          <w:sz w:val="22"/>
        </w:rPr>
        <w:t xml:space="preserve">July 13, 2026 — TD Cowen raises PT to $215 (from $160), maintains Buy: </w:t>
      </w:r>
      <w:r>
        <w:rPr>
          <w:rFonts w:ascii="Calibri" w:hAnsi="Calibri"/>
          <w:color w:val="525866"/>
          <w:sz w:val="22"/>
        </w:rPr>
        <w:t xml:space="preserve">Analyst Shaul Eyal cited strong Q2 channel checks indicating FTNT is tracking ahead of Q2 targets. Raised Q2 billings estimate to $2.23B (vs. guidance midpoint $2.14B), product revenue to $675M (+33% YoY), and service revenue to $1.262B. Raised FY26 revenue estimate to $7.854B (~1% above consensus). New PT based on 52x EV/FY27 FCF (up from 39x). </w:t>
      </w:r>
      <w:r>
        <w:rPr>
          <w:rFonts w:ascii="Calibri" w:hAnsi="Calibri"/>
          <w:i/>
          <w:color w:val="525866"/>
          <w:sz w:val="22"/>
        </w:rPr>
        <w:t>Implication: Most current and specific pre-print data point; suggests meaningful upside to consensus.</w:t>
      </w:r>
    </w:p>
    <w:p>
      <w:pPr>
        <w:pStyle w:val="ListBullet"/>
        <w:ind w:left="360" w:hanging="360"/>
      </w:pPr>
      <w:r>
        <w:rPr>
          <w:rFonts w:ascii="Calibri" w:hAnsi="Calibri"/>
          <w:b/>
          <w:color w:val="525866"/>
          <w:sz w:val="22"/>
        </w:rPr>
        <w:t xml:space="preserve">June 29, 2026 — HSBC downgrades FTNT from Hold to Reduce, PT $102: </w:t>
      </w:r>
      <w:r>
        <w:rPr>
          <w:rFonts w:ascii="Calibri" w:hAnsi="Calibri"/>
          <w:color w:val="525866"/>
          <w:sz w:val="22"/>
        </w:rPr>
        <w:t xml:space="preserve">Downgrade driven by valuation concerns following the stock’s ~67% rally since Q1 earnings. HSBC’s $102 PT implies ~32% downside from current levels. </w:t>
      </w:r>
      <w:r>
        <w:rPr>
          <w:rFonts w:ascii="Calibri" w:hAnsi="Calibri"/>
          <w:i/>
          <w:color w:val="525866"/>
          <w:sz w:val="22"/>
        </w:rPr>
        <w:t>Implication: Valuation risk is real — at 52x EV/FY27 FCF, any execution miss would be severely punished.</w:t>
      </w:r>
    </w:p>
    <w:p>
      <w:pPr>
        <w:pStyle w:val="ListBullet"/>
        <w:ind w:left="360" w:hanging="360"/>
      </w:pPr>
      <w:r>
        <w:rPr>
          <w:rFonts w:ascii="Calibri" w:hAnsi="Calibri"/>
          <w:b/>
          <w:color w:val="525866"/>
          <w:sz w:val="22"/>
        </w:rPr>
        <w:t xml:space="preserve">June 12, 2026 — Barclays raises PT to $155 (from $115), maintains Equal Weight: </w:t>
      </w:r>
      <w:r>
        <w:rPr>
          <w:rFonts w:ascii="Calibri" w:hAnsi="Calibri"/>
          <w:color w:val="525866"/>
          <w:sz w:val="22"/>
        </w:rPr>
        <w:t xml:space="preserve">Analyst Saket Kalia raised PT following the stock’s re-rating, while maintaining a cautious stance on valuation. </w:t>
      </w:r>
      <w:r>
        <w:rPr>
          <w:rFonts w:ascii="Calibri" w:hAnsi="Calibri"/>
          <w:i/>
          <w:color w:val="525866"/>
          <w:sz w:val="22"/>
        </w:rPr>
        <w:t>Implication: Neutral-to-cautious tone from a key sell-side voice; consensus is Hold with 36 analysts (5 Sell, 24 Hold, 7 Buy).</w:t>
      </w:r>
    </w:p>
    <w:p>
      <w:pPr>
        <w:pStyle w:val="ListBullet"/>
        <w:ind w:left="360" w:hanging="360"/>
      </w:pPr>
      <w:r>
        <w:rPr>
          <w:rFonts w:ascii="Calibri" w:hAnsi="Calibri"/>
          <w:b/>
          <w:color w:val="525866"/>
          <w:sz w:val="22"/>
        </w:rPr>
        <w:t xml:space="preserve">June 8, 2026 — Bank of America raises PT to $180 (from $130), maintains Buy: </w:t>
      </w:r>
      <w:r>
        <w:rPr>
          <w:rFonts w:ascii="Calibri" w:hAnsi="Calibri"/>
          <w:color w:val="525866"/>
          <w:sz w:val="22"/>
        </w:rPr>
        <w:t xml:space="preserve">Analyst Tal Liani boosted PT citing FTNT’s strong positioning in network security and AI data-center security. </w:t>
      </w:r>
      <w:r>
        <w:rPr>
          <w:rFonts w:ascii="Calibri" w:hAnsi="Calibri"/>
          <w:i/>
          <w:color w:val="525866"/>
          <w:sz w:val="22"/>
        </w:rPr>
        <w:t>Implication: Bullish conviction from a major sell-side firm; $180 PT implies ~20% upside from current levels.</w:t>
      </w:r>
    </w:p>
    <w:p>
      <w:pPr>
        <w:pStyle w:val="ListBullet"/>
        <w:ind w:left="360" w:hanging="360"/>
      </w:pPr>
      <w:r>
        <w:rPr>
          <w:rFonts w:ascii="Calibri" w:hAnsi="Calibri"/>
          <w:b/>
          <w:color w:val="525866"/>
          <w:sz w:val="22"/>
        </w:rPr>
        <w:t xml:space="preserve">June 8, 2026 — TD Cowen raises PT to $160 (from $125), maintains Buy: </w:t>
      </w:r>
      <w:r>
        <w:rPr>
          <w:rFonts w:ascii="Calibri" w:hAnsi="Calibri"/>
          <w:color w:val="525866"/>
          <w:sz w:val="22"/>
        </w:rPr>
        <w:t xml:space="preserve">Initial post-Q1 raise citing strong network security positioning. Subsequently raised again to $215 on July 13 channel checks. </w:t>
      </w:r>
      <w:r>
        <w:rPr>
          <w:rFonts w:ascii="Calibri" w:hAnsi="Calibri"/>
          <w:i/>
          <w:color w:val="525866"/>
          <w:sz w:val="22"/>
        </w:rPr>
        <w:t>Implication: Two consecutive raises from the same analyst in ~5 weeks signals accelerating conviction.</w:t>
      </w:r>
    </w:p>
    <w:p>
      <w:pPr>
        <w:pStyle w:val="ListBullet"/>
        <w:ind w:left="360" w:hanging="360"/>
      </w:pPr>
      <w:r>
        <w:rPr>
          <w:rFonts w:ascii="Calibri" w:hAnsi="Calibri"/>
          <w:b/>
          <w:color w:val="525866"/>
          <w:sz w:val="22"/>
        </w:rPr>
        <w:t xml:space="preserve">June 2–3, 2026 — PANW Q3 FY2026 blowout results: </w:t>
      </w:r>
      <w:r>
        <w:rPr>
          <w:rFonts w:ascii="Calibri" w:hAnsi="Calibri"/>
          <w:color w:val="525866"/>
          <w:sz w:val="22"/>
        </w:rPr>
        <w:t xml:space="preserve">Palo Alto Networks reported firewall bookings +40% YoY, SASE ARR +40% YoY, and raised full-year guidance. Stock surged, pulling FTNT higher. </w:t>
      </w:r>
      <w:r>
        <w:rPr>
          <w:rFonts w:ascii="Calibri" w:hAnsi="Calibri"/>
          <w:i/>
          <w:color w:val="525866"/>
          <w:sz w:val="22"/>
        </w:rPr>
        <w:t>Implication: Strongest positive peer read-through since Q1 earnings; validates AI-driven firewall and SASE demand.</w:t>
      </w:r>
    </w:p>
    <w:p>
      <w:pPr>
        <w:pStyle w:val="ListBullet"/>
        <w:ind w:left="360" w:hanging="360"/>
      </w:pPr>
      <w:r>
        <w:rPr>
          <w:rFonts w:ascii="Calibri" w:hAnsi="Calibri"/>
          <w:b/>
          <w:color w:val="525866"/>
          <w:sz w:val="22"/>
        </w:rPr>
        <w:t xml:space="preserve">May 26–28, 2026 — ZS Q3 FY2026 results with sales leadership disruption: </w:t>
      </w:r>
      <w:r>
        <w:rPr>
          <w:rFonts w:ascii="Calibri" w:hAnsi="Calibri"/>
          <w:color w:val="525866"/>
          <w:sz w:val="22"/>
        </w:rPr>
        <w:t xml:space="preserve">Zscaler beat on revenue/ARR but disclosed departure of two sales leaders, causing a “prudent” Q4 guide. FTNT pulled back briefly on the news. </w:t>
      </w:r>
      <w:r>
        <w:rPr>
          <w:rFonts w:ascii="Calibri" w:hAnsi="Calibri"/>
          <w:i/>
          <w:color w:val="525866"/>
          <w:sz w:val="22"/>
        </w:rPr>
        <w:t>Implication: Company-specific negative for ZS; potential competitive opportunity for FTNT in SASE deals.</w:t>
      </w:r>
    </w:p>
    <w:p>
      <w:pPr>
        <w:pStyle w:val="ListBullet"/>
        <w:ind w:left="360" w:hanging="360"/>
      </w:pPr>
      <w:r>
        <w:rPr>
          <w:rFonts w:ascii="Calibri" w:hAnsi="Calibri"/>
          <w:b/>
          <w:color w:val="525866"/>
          <w:sz w:val="22"/>
        </w:rPr>
        <w:t xml:space="preserve">May 26, 2026 — BTIG raises PT to $150 (from $125), maintains Buy: </w:t>
      </w:r>
      <w:r>
        <w:rPr>
          <w:rFonts w:ascii="Calibri" w:hAnsi="Calibri"/>
          <w:color w:val="525866"/>
          <w:sz w:val="22"/>
        </w:rPr>
        <w:t xml:space="preserve">Analyst Gray Powell boosted PT following Q1 results. </w:t>
      </w:r>
      <w:r>
        <w:rPr>
          <w:rFonts w:ascii="Calibri" w:hAnsi="Calibri"/>
          <w:i/>
          <w:color w:val="525866"/>
          <w:sz w:val="22"/>
        </w:rPr>
        <w:t>Implication: Continued bullish conviction from a cybersecurity-focused analyst.</w:t>
      </w:r>
    </w:p>
    <w:p>
      <w:pPr>
        <w:pStyle w:val="ListBullet"/>
        <w:ind w:left="360" w:hanging="360"/>
      </w:pPr>
      <w:r>
        <w:rPr>
          <w:rFonts w:ascii="Calibri" w:hAnsi="Calibri"/>
          <w:b/>
          <w:color w:val="525866"/>
          <w:sz w:val="22"/>
        </w:rPr>
        <w:t xml:space="preserve">May 19, 2026 — DZ Bank downgrades FTNT from Buy to Hold, PT $125: </w:t>
      </w:r>
      <w:r>
        <w:rPr>
          <w:rFonts w:ascii="Calibri" w:hAnsi="Calibri"/>
          <w:color w:val="525866"/>
          <w:sz w:val="22"/>
        </w:rPr>
        <w:t xml:space="preserve">Downgrade on valuation following the post-Q1 rally. </w:t>
      </w:r>
      <w:r>
        <w:rPr>
          <w:rFonts w:ascii="Calibri" w:hAnsi="Calibri"/>
          <w:i/>
          <w:color w:val="525866"/>
          <w:sz w:val="22"/>
        </w:rPr>
        <w:t>Implication: Valuation-driven caution; stock has since rallied further above the $125 PT.</w:t>
      </w:r>
    </w:p>
    <w:p>
      <w:pPr>
        <w:pStyle w:val="ListBullet"/>
        <w:ind w:left="360" w:hanging="360"/>
      </w:pPr>
      <w:r>
        <w:rPr>
          <w:rFonts w:ascii="Calibri" w:hAnsi="Calibri"/>
          <w:b/>
          <w:color w:val="525866"/>
          <w:sz w:val="22"/>
        </w:rPr>
        <w:t xml:space="preserve">May 8, 2026 — Citigroup raises PT to $115 (from $90), maintains Neutral: </w:t>
      </w:r>
      <w:r>
        <w:rPr>
          <w:rFonts w:ascii="Calibri" w:hAnsi="Calibri"/>
          <w:color w:val="525866"/>
          <w:sz w:val="22"/>
        </w:rPr>
        <w:t xml:space="preserve">Analyst Fatima Boolani raised PT post-Q1 beat while maintaining a cautious stance. </w:t>
      </w:r>
      <w:r>
        <w:rPr>
          <w:rFonts w:ascii="Calibri" w:hAnsi="Calibri"/>
          <w:i/>
          <w:color w:val="525866"/>
          <w:sz w:val="22"/>
        </w:rPr>
        <w:t>Implication: Neutral-to-cautious; stock has since significantly exceeded the $115 PT.</w:t>
      </w:r>
    </w:p>
    <w:p>
      <w:pPr>
        <w:pStyle w:val="ListBullet"/>
        <w:ind w:left="360" w:hanging="360"/>
      </w:pPr>
      <w:r>
        <w:rPr>
          <w:rFonts w:ascii="Calibri" w:hAnsi="Calibri"/>
          <w:b/>
          <w:color w:val="525866"/>
          <w:sz w:val="22"/>
        </w:rPr>
        <w:t xml:space="preserve">May 13, 2026 — CSCO Q3 FY2026 results: </w:t>
      </w:r>
      <w:r>
        <w:rPr>
          <w:rFonts w:ascii="Calibri" w:hAnsi="Calibri"/>
          <w:color w:val="525866"/>
          <w:sz w:val="22"/>
        </w:rPr>
        <w:t xml:space="preserve">Cisco reported strong double-digit firewall order growth and total product orders +35% YoY. Guided Q4 revenue of $16.7–$16.9B (+14.5% YoY). </w:t>
      </w:r>
      <w:r>
        <w:rPr>
          <w:rFonts w:ascii="Calibri" w:hAnsi="Calibri"/>
          <w:i/>
          <w:color w:val="525866"/>
          <w:sz w:val="22"/>
        </w:rPr>
        <w:t>Implication: Broad-based network security demand validation; positive read-through for FTNT product revenue.</w:t>
      </w:r>
    </w:p>
    <w:p>
      <w:pPr>
        <w:pStyle w:val="ListBullet"/>
        <w:ind w:left="360" w:hanging="360"/>
      </w:pPr>
      <w:r>
        <w:rPr>
          <w:rFonts w:ascii="Calibri" w:hAnsi="Calibri"/>
          <w:b/>
          <w:color w:val="525866"/>
          <w:sz w:val="22"/>
        </w:rPr>
        <w:t xml:space="preserve">July 2, 2026 — FTNT announces Q2 2026 earnings date: </w:t>
      </w:r>
      <w:r>
        <w:rPr>
          <w:rFonts w:ascii="Calibri" w:hAnsi="Calibri"/>
          <w:color w:val="525866"/>
          <w:sz w:val="22"/>
        </w:rPr>
        <w:t xml:space="preserve">Fortinet confirmed Q2 2026 results will be reported on July 29, 2026 after market close, with a conference call at 4:30 PM ET. </w:t>
      </w:r>
      <w:r>
        <w:rPr>
          <w:rFonts w:ascii="Calibri" w:hAnsi="Calibri"/>
          <w:i/>
          <w:color w:val="525866"/>
          <w:sz w:val="22"/>
        </w:rPr>
        <w:t>Implication: Confirms earnings date; no pre-announcement or guidance update filed.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senior executives — all activity is </w:t>
      </w:r>
      <w:r>
        <w:rPr>
          <w:rFonts w:ascii="Calibri" w:hAnsi="Calibri"/>
          <w:b/>
          <w:color w:val="525866"/>
          <w:sz w:val="22"/>
        </w:rPr>
        <w:t>routine 10b5-1 plan sales (CFO) and RSU vesting/conversions (directors and executives)</w:t>
      </w:r>
      <w:r>
        <w:rPr>
          <w:rFonts w:ascii="Calibri" w:hAnsi="Calibri"/>
          <w:color w:val="525866"/>
          <w:sz w:val="22"/>
        </w:rPr>
        <w:t>. The absence of any discretionary selling by CEO Ken Xie or CTO Michael Xie is notable given the stock’s ~67% rally since Q1 earnings; their silence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756 shares</w:t>
            </w:r>
          </w:p>
        </w:tc>
        <w:tc>
          <w:tcPr>
            <w:tcW w:type="dxa" w:w="1440"/>
          </w:tcPr>
          <w:p>
            <w:r>
              <w:rPr>
                <w:rFonts w:ascii="Calibri" w:hAnsi="Calibri"/>
                <w:sz w:val="22"/>
              </w:rPr>
              <w:t>May 7, 2026</w:t>
            </w:r>
          </w:p>
        </w:tc>
        <w:tc>
          <w:tcPr>
            <w:tcW w:type="dxa" w:w="1440"/>
          </w:tcPr>
          <w:p>
            <w:r>
              <w:rPr>
                <w:rFonts w:ascii="Calibri" w:hAnsi="Calibri"/>
                <w:sz w:val="22"/>
              </w:rPr>
              <w:t>Pre-scheduled 10b5-1 plan; routine, not discretionary</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238 shares</w:t>
            </w:r>
          </w:p>
        </w:tc>
        <w:tc>
          <w:tcPr>
            <w:tcW w:type="dxa" w:w="1440"/>
          </w:tcPr>
          <w:p>
            <w:r>
              <w:rPr>
                <w:rFonts w:ascii="Calibri" w:hAnsi="Calibri"/>
                <w:sz w:val="22"/>
              </w:rPr>
              <w:t>May 11, 2026</w:t>
            </w:r>
          </w:p>
        </w:tc>
        <w:tc>
          <w:tcPr>
            <w:tcW w:type="dxa" w:w="1440"/>
          </w:tcPr>
          <w:p>
            <w:r>
              <w:rPr>
                <w:rFonts w:ascii="Calibri" w:hAnsi="Calibri"/>
                <w:sz w:val="22"/>
              </w:rPr>
              <w:t>Pre-scheduled 10b5-1 plan; routine, not discretionary</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756 shares</w:t>
            </w:r>
          </w:p>
        </w:tc>
        <w:tc>
          <w:tcPr>
            <w:tcW w:type="dxa" w:w="1440"/>
          </w:tcPr>
          <w:p>
            <w:r>
              <w:rPr>
                <w:rFonts w:ascii="Calibri" w:hAnsi="Calibri"/>
                <w:sz w:val="22"/>
              </w:rPr>
              <w:t>May 14, 2026</w:t>
            </w:r>
          </w:p>
        </w:tc>
        <w:tc>
          <w:tcPr>
            <w:tcW w:type="dxa" w:w="1440"/>
          </w:tcPr>
          <w:p>
            <w:r>
              <w:rPr>
                <w:rFonts w:ascii="Calibri" w:hAnsi="Calibri"/>
                <w:sz w:val="22"/>
              </w:rPr>
              <w:t>Pre-scheduled 10b5-1 plan; routine, not discretionary</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238 shares</w:t>
            </w:r>
          </w:p>
        </w:tc>
        <w:tc>
          <w:tcPr>
            <w:tcW w:type="dxa" w:w="1440"/>
          </w:tcPr>
          <w:p>
            <w:r>
              <w:rPr>
                <w:rFonts w:ascii="Calibri" w:hAnsi="Calibri"/>
                <w:sz w:val="22"/>
              </w:rPr>
              <w:t>May 20, 2026</w:t>
            </w:r>
          </w:p>
        </w:tc>
        <w:tc>
          <w:tcPr>
            <w:tcW w:type="dxa" w:w="1440"/>
          </w:tcPr>
          <w:p>
            <w:r>
              <w:rPr>
                <w:rFonts w:ascii="Calibri" w:hAnsi="Calibri"/>
                <w:sz w:val="22"/>
              </w:rPr>
              <w:t>Pre-scheduled 10b5-1 plan; routine, not discretionary</w:t>
            </w:r>
          </w:p>
        </w:tc>
      </w:tr>
      <w:tr>
        <w:tc>
          <w:tcPr>
            <w:tcW w:type="dxa" w:w="1440"/>
          </w:tcPr>
          <w:p>
            <w:r>
              <w:rPr>
                <w:rFonts w:ascii="Calibri" w:hAnsi="Calibri"/>
                <w:sz w:val="22"/>
              </w:rPr>
              <w:t>Xie, Michael</w:t>
            </w:r>
          </w:p>
        </w:tc>
        <w:tc>
          <w:tcPr>
            <w:tcW w:type="dxa" w:w="1440"/>
          </w:tcPr>
          <w:p>
            <w:r>
              <w:rPr>
                <w:rFonts w:ascii="Calibri" w:hAnsi="Calibri"/>
                <w:sz w:val="22"/>
              </w:rPr>
              <w:t>VP Engineering &amp; CTO, Director</w:t>
            </w:r>
          </w:p>
        </w:tc>
        <w:tc>
          <w:tcPr>
            <w:tcW w:type="dxa" w:w="1440"/>
          </w:tcPr>
          <w:p>
            <w:r>
              <w:rPr>
                <w:rFonts w:ascii="Calibri" w:hAnsi="Calibri"/>
                <w:sz w:val="22"/>
              </w:rPr>
              <w:t>RSU Vesting / Trust Transfer</w:t>
            </w:r>
          </w:p>
        </w:tc>
        <w:tc>
          <w:tcPr>
            <w:tcW w:type="dxa" w:w="1440"/>
          </w:tcPr>
          <w:p>
            <w:r>
              <w:rPr>
                <w:rFonts w:ascii="Calibri" w:hAnsi="Calibri"/>
                <w:sz w:val="22"/>
              </w:rPr>
              <w:t>5,854,588 shares</w:t>
            </w:r>
          </w:p>
        </w:tc>
        <w:tc>
          <w:tcPr>
            <w:tcW w:type="dxa" w:w="1440"/>
          </w:tcPr>
          <w:p>
            <w:r>
              <w:rPr>
                <w:rFonts w:ascii="Calibri" w:hAnsi="Calibri"/>
                <w:sz w:val="22"/>
              </w:rPr>
              <w:t>May 19, 2026</w:t>
            </w:r>
          </w:p>
        </w:tc>
        <w:tc>
          <w:tcPr>
            <w:tcW w:type="dxa" w:w="1440"/>
          </w:tcPr>
          <w:p>
            <w:r>
              <w:rPr>
                <w:rFonts w:ascii="Calibri" w:hAnsi="Calibri"/>
                <w:sz w:val="22"/>
              </w:rPr>
              <w:t>Transfer to trust (indirect ownership); 10b5-1 plan; not an open-market sale</w:t>
            </w:r>
          </w:p>
        </w:tc>
      </w:tr>
      <w:tr>
        <w:tc>
          <w:tcPr>
            <w:tcW w:type="dxa" w:w="1440"/>
          </w:tcPr>
          <w:p>
            <w:r>
              <w:rPr>
                <w:rFonts w:ascii="Calibri" w:hAnsi="Calibri"/>
                <w:sz w:val="22"/>
              </w:rPr>
              <w:t>Whittle, John</w:t>
            </w:r>
          </w:p>
        </w:tc>
        <w:tc>
          <w:tcPr>
            <w:tcW w:type="dxa" w:w="1440"/>
          </w:tcPr>
          <w:p>
            <w:r>
              <w:rPr>
                <w:rFonts w:ascii="Calibri" w:hAnsi="Calibri"/>
                <w:sz w:val="22"/>
              </w:rPr>
              <w:t>Chief Operating Officer</w:t>
            </w:r>
          </w:p>
        </w:tc>
        <w:tc>
          <w:tcPr>
            <w:tcW w:type="dxa" w:w="1440"/>
          </w:tcPr>
          <w:p>
            <w:r>
              <w:rPr>
                <w:rFonts w:ascii="Calibri" w:hAnsi="Calibri"/>
                <w:sz w:val="22"/>
              </w:rPr>
              <w:t>RSU Vesting (Acquisition)</w:t>
            </w:r>
          </w:p>
        </w:tc>
        <w:tc>
          <w:tcPr>
            <w:tcW w:type="dxa" w:w="1440"/>
          </w:tcPr>
          <w:p>
            <w:r>
              <w:rPr>
                <w:rFonts w:ascii="Calibri" w:hAnsi="Calibri"/>
                <w:sz w:val="22"/>
              </w:rPr>
              <w:t>146,015 shares</w:t>
            </w:r>
          </w:p>
        </w:tc>
        <w:tc>
          <w:tcPr>
            <w:tcW w:type="dxa" w:w="1440"/>
          </w:tcPr>
          <w:p>
            <w:r>
              <w:rPr>
                <w:rFonts w:ascii="Calibri" w:hAnsi="Calibri"/>
                <w:sz w:val="22"/>
              </w:rPr>
              <w:t>May 21, 2026</w:t>
            </w:r>
          </w:p>
        </w:tc>
        <w:tc>
          <w:tcPr>
            <w:tcW w:type="dxa" w:w="1440"/>
          </w:tcPr>
          <w:p>
            <w:r>
              <w:rPr>
                <w:rFonts w:ascii="Calibri" w:hAnsi="Calibri"/>
                <w:sz w:val="22"/>
              </w:rPr>
              <w:t>RSU vesting; 10b5-1 plan; not an open-market purchase</w:t>
            </w:r>
          </w:p>
        </w:tc>
      </w:tr>
      <w:tr>
        <w:tc>
          <w:tcPr>
            <w:tcW w:type="dxa" w:w="1440"/>
          </w:tcPr>
          <w:p>
            <w:r>
              <w:rPr>
                <w:rFonts w:ascii="Calibri" w:hAnsi="Calibri"/>
                <w:sz w:val="22"/>
              </w:rPr>
              <w:t>Xie, Ken</w:t>
            </w:r>
          </w:p>
        </w:tc>
        <w:tc>
          <w:tcPr>
            <w:tcW w:type="dxa" w:w="1440"/>
          </w:tcPr>
          <w:p>
            <w:r>
              <w:rPr>
                <w:rFonts w:ascii="Calibri" w:hAnsi="Calibri"/>
                <w:sz w:val="22"/>
              </w:rPr>
              <w:t>President &amp; CEO, Director</w:t>
            </w:r>
          </w:p>
        </w:tc>
        <w:tc>
          <w:tcPr>
            <w:tcW w:type="dxa" w:w="1440"/>
          </w:tcPr>
          <w:p>
            <w:r>
              <w:rPr>
                <w:rFonts w:ascii="Calibri" w:hAnsi="Calibri"/>
                <w:sz w:val="22"/>
              </w:rPr>
              <w:t>RSU Vesting (Acquisition)</w:t>
            </w:r>
          </w:p>
        </w:tc>
        <w:tc>
          <w:tcPr>
            <w:tcW w:type="dxa" w:w="1440"/>
          </w:tcPr>
          <w:p>
            <w:r>
              <w:rPr>
                <w:rFonts w:ascii="Calibri" w:hAnsi="Calibri"/>
                <w:sz w:val="22"/>
              </w:rPr>
              <w:t>155,000 shares</w:t>
            </w:r>
          </w:p>
        </w:tc>
        <w:tc>
          <w:tcPr>
            <w:tcW w:type="dxa" w:w="1440"/>
          </w:tcPr>
          <w:p>
            <w:r>
              <w:rPr>
                <w:rFonts w:ascii="Calibri" w:hAnsi="Calibri"/>
                <w:sz w:val="22"/>
              </w:rPr>
              <w:t>June 2, 2026</w:t>
            </w:r>
          </w:p>
        </w:tc>
        <w:tc>
          <w:tcPr>
            <w:tcW w:type="dxa" w:w="1440"/>
          </w:tcPr>
          <w:p>
            <w:r>
              <w:rPr>
                <w:rFonts w:ascii="Calibri" w:hAnsi="Calibri"/>
                <w:sz w:val="22"/>
              </w:rPr>
              <w:t>RSU vesting; 10b5-1 plan; not an open-market purchase</w:t>
            </w:r>
          </w:p>
        </w:tc>
      </w:tr>
      <w:tr>
        <w:tc>
          <w:tcPr>
            <w:tcW w:type="dxa" w:w="1440"/>
          </w:tcPr>
          <w:p>
            <w:r>
              <w:rPr>
                <w:rFonts w:ascii="Calibri" w:hAnsi="Calibri"/>
                <w:sz w:val="22"/>
              </w:rPr>
              <w:t>Xie, Michael</w:t>
            </w:r>
          </w:p>
        </w:tc>
        <w:tc>
          <w:tcPr>
            <w:tcW w:type="dxa" w:w="1440"/>
          </w:tcPr>
          <w:p>
            <w:r>
              <w:rPr>
                <w:rFonts w:ascii="Calibri" w:hAnsi="Calibri"/>
                <w:sz w:val="22"/>
              </w:rPr>
              <w:t>VP Engineering &amp; CTO, Director</w:t>
            </w:r>
          </w:p>
        </w:tc>
        <w:tc>
          <w:tcPr>
            <w:tcW w:type="dxa" w:w="1440"/>
          </w:tcPr>
          <w:p>
            <w:r>
              <w:rPr>
                <w:rFonts w:ascii="Calibri" w:hAnsi="Calibri"/>
                <w:sz w:val="22"/>
              </w:rPr>
              <w:t>10b5-1 Planned Sale</w:t>
            </w:r>
          </w:p>
        </w:tc>
        <w:tc>
          <w:tcPr>
            <w:tcW w:type="dxa" w:w="1440"/>
          </w:tcPr>
          <w:p>
            <w:r>
              <w:rPr>
                <w:rFonts w:ascii="Calibri" w:hAnsi="Calibri"/>
                <w:sz w:val="22"/>
              </w:rPr>
              <w:t>3,907 shares</w:t>
            </w:r>
          </w:p>
        </w:tc>
        <w:tc>
          <w:tcPr>
            <w:tcW w:type="dxa" w:w="1440"/>
          </w:tcPr>
          <w:p>
            <w:r>
              <w:rPr>
                <w:rFonts w:ascii="Calibri" w:hAnsi="Calibri"/>
                <w:sz w:val="22"/>
              </w:rPr>
              <w:t>June 3, 2026</w:t>
            </w:r>
          </w:p>
        </w:tc>
        <w:tc>
          <w:tcPr>
            <w:tcW w:type="dxa" w:w="1440"/>
          </w:tcPr>
          <w:p>
            <w:r>
              <w:rPr>
                <w:rFonts w:ascii="Calibri" w:hAnsi="Calibri"/>
                <w:sz w:val="22"/>
              </w:rPr>
              <w:t>Pre-scheduled 10b5-1 plan; small relative to holdings (~10M shares)</w:t>
            </w:r>
          </w:p>
        </w:tc>
      </w:tr>
      <w:tr>
        <w:tc>
          <w:tcPr>
            <w:tcW w:type="dxa" w:w="1440"/>
          </w:tcPr>
          <w:p>
            <w:r>
              <w:rPr>
                <w:rFonts w:ascii="Calibri" w:hAnsi="Calibri"/>
                <w:sz w:val="22"/>
              </w:rPr>
              <w:t>Xie, Michael</w:t>
            </w:r>
          </w:p>
        </w:tc>
        <w:tc>
          <w:tcPr>
            <w:tcW w:type="dxa" w:w="1440"/>
          </w:tcPr>
          <w:p>
            <w:r>
              <w:rPr>
                <w:rFonts w:ascii="Calibri" w:hAnsi="Calibri"/>
                <w:sz w:val="22"/>
              </w:rPr>
              <w:t>VP Engineering &amp; CTO, Director</w:t>
            </w:r>
          </w:p>
        </w:tc>
        <w:tc>
          <w:tcPr>
            <w:tcW w:type="dxa" w:w="1440"/>
          </w:tcPr>
          <w:p>
            <w:r>
              <w:rPr>
                <w:rFonts w:ascii="Calibri" w:hAnsi="Calibri"/>
                <w:sz w:val="22"/>
              </w:rPr>
              <w:t>Gift / Trust Transfer</w:t>
            </w:r>
          </w:p>
        </w:tc>
        <w:tc>
          <w:tcPr>
            <w:tcW w:type="dxa" w:w="1440"/>
          </w:tcPr>
          <w:p>
            <w:r>
              <w:rPr>
                <w:rFonts w:ascii="Calibri" w:hAnsi="Calibri"/>
                <w:sz w:val="22"/>
              </w:rPr>
              <w:t>5,250 shares</w:t>
            </w:r>
          </w:p>
        </w:tc>
        <w:tc>
          <w:tcPr>
            <w:tcW w:type="dxa" w:w="1440"/>
          </w:tcPr>
          <w:p>
            <w:r>
              <w:rPr>
                <w:rFonts w:ascii="Calibri" w:hAnsi="Calibri"/>
                <w:sz w:val="22"/>
              </w:rPr>
              <w:t>June 4, 2026</w:t>
            </w:r>
          </w:p>
        </w:tc>
        <w:tc>
          <w:tcPr>
            <w:tcW w:type="dxa" w:w="1440"/>
          </w:tcPr>
          <w:p>
            <w:r>
              <w:rPr>
                <w:rFonts w:ascii="Calibri" w:hAnsi="Calibri"/>
                <w:sz w:val="22"/>
              </w:rPr>
              <w:t>Gift to spouse and self (indirect); 10b5-1 plan; not an open-market sale</w:t>
            </w:r>
          </w:p>
        </w:tc>
      </w:tr>
      <w:tr>
        <w:tc>
          <w:tcPr>
            <w:tcW w:type="dxa" w:w="1440"/>
          </w:tcPr>
          <w:p>
            <w:r>
              <w:rPr>
                <w:rFonts w:ascii="Calibri" w:hAnsi="Calibri"/>
                <w:sz w:val="22"/>
              </w:rPr>
              <w:t>Multiple Directors (Goldman, Hsieh, Hu, Napolitano, Sim, Stavridis)</w:t>
            </w:r>
          </w:p>
        </w:tc>
        <w:tc>
          <w:tcPr>
            <w:tcW w:type="dxa" w:w="1440"/>
          </w:tcPr>
          <w:p>
            <w:r>
              <w:rPr>
                <w:rFonts w:ascii="Calibri" w:hAnsi="Calibri"/>
                <w:sz w:val="22"/>
              </w:rPr>
              <w:t>Board of Directors</w:t>
            </w:r>
          </w:p>
        </w:tc>
        <w:tc>
          <w:tcPr>
            <w:tcW w:type="dxa" w:w="1440"/>
          </w:tcPr>
          <w:p>
            <w:r>
              <w:rPr>
                <w:rFonts w:ascii="Calibri" w:hAnsi="Calibri"/>
                <w:sz w:val="22"/>
              </w:rPr>
              <w:t>RSU Vesting (Conversion)</w:t>
            </w:r>
          </w:p>
        </w:tc>
        <w:tc>
          <w:tcPr>
            <w:tcW w:type="dxa" w:w="1440"/>
          </w:tcPr>
          <w:p>
            <w:r>
              <w:rPr>
                <w:rFonts w:ascii="Calibri" w:hAnsi="Calibri"/>
                <w:sz w:val="22"/>
              </w:rPr>
              <w:t>650 shares each</w:t>
            </w:r>
          </w:p>
        </w:tc>
        <w:tc>
          <w:tcPr>
            <w:tcW w:type="dxa" w:w="1440"/>
          </w:tcPr>
          <w:p>
            <w:r>
              <w:rPr>
                <w:rFonts w:ascii="Calibri" w:hAnsi="Calibri"/>
                <w:sz w:val="22"/>
              </w:rPr>
              <w:t>June 11, 2026</w:t>
            </w:r>
          </w:p>
        </w:tc>
        <w:tc>
          <w:tcPr>
            <w:tcW w:type="dxa" w:w="1440"/>
          </w:tcPr>
          <w:p>
            <w:r>
              <w:rPr>
                <w:rFonts w:ascii="Calibri" w:hAnsi="Calibri"/>
                <w:sz w:val="22"/>
              </w:rPr>
              <w:t>Routine annual RSU vesting for all directors; not open-market sales</w:t>
            </w:r>
          </w:p>
        </w:tc>
      </w:tr>
    </w:tbl>
    <w:p>
      <w:r>
        <w:rPr>
          <w:rFonts w:ascii="Calibri" w:hAnsi="Calibri"/>
          <w:b/>
          <w:color w:val="525866"/>
          <w:sz w:val="22"/>
        </w:rPr>
        <w:t xml:space="preserve">Summary: </w:t>
      </w:r>
      <w:r>
        <w:rPr>
          <w:rFonts w:ascii="Calibri" w:hAnsi="Calibri"/>
          <w:color w:val="525866"/>
          <w:sz w:val="22"/>
        </w:rPr>
        <w:t xml:space="preserve">All insider activity since Q1 earnings is either routine 10b5-1 planned sales (CFO Ohlgart, small and consistent), RSU vestings (CEO Ken Xie, CTO Michael Xie, COO Whittle), or director RSU conversions. There are </w:t>
      </w:r>
      <w:r>
        <w:rPr>
          <w:rFonts w:ascii="Calibri" w:hAnsi="Calibri"/>
          <w:b/>
          <w:color w:val="525866"/>
          <w:sz w:val="22"/>
        </w:rPr>
        <w:t>no open-market discretionary sells</w:t>
      </w:r>
      <w:r>
        <w:rPr>
          <w:rFonts w:ascii="Calibri" w:hAnsi="Calibri"/>
          <w:color w:val="525866"/>
          <w:sz w:val="22"/>
        </w:rPr>
        <w:t xml:space="preserve"> from any senior executive, and </w:t>
      </w:r>
      <w:r>
        <w:rPr>
          <w:rFonts w:ascii="Calibri" w:hAnsi="Calibri"/>
          <w:b/>
          <w:color w:val="525866"/>
          <w:sz w:val="22"/>
        </w:rPr>
        <w:t>no open-market buys</w:t>
      </w:r>
      <w:r>
        <w:rPr>
          <w:rFonts w:ascii="Calibri" w:hAnsi="Calibri"/>
          <w:color w:val="525866"/>
          <w:sz w:val="22"/>
        </w:rPr>
        <w:t>. The absence of discretionary selling by the Xie brothers (who collectively hold tens of millions of shares) despite the stock’s ~67% rally is a mild positive signal — they are not rushing to monetize at current prices.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