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v-earnings-predictions--2026-07-29"/>
    <w:p>
      <w:pPr>
        <w:pStyle w:val="Heading1"/>
      </w:pPr>
      <w:r>
        <w:t xml:space="preserve">FTV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 vs. cons $0.70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(organic) revenue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~+4% vs. cons ~+3%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Reported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 (raise vs. reaffirm)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2.95</m:t>
              </m:r>
              <m:r>
                <m:rPr>
                  <m:sty m:val="p"/>
                </m:rPr>
                <m:t>−</m:t>
              </m:r>
              <m:r>
                <m:t>3.00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t>a</m:t>
              </m:r>
              <m:r>
                <m:t>r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o</m:t>
              </m:r>
              <m:r>
                <m:t>u</m:t>
              </m:r>
              <m:r>
                <m:t>p</m:t>
              </m:r>
              <m:r>
                <m:t>p</m:t>
              </m:r>
              <m:r>
                <m:t>e</m:t>
              </m:r>
              <m:r>
                <m:t>r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2.98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~top-end of 2-3% (~3%) vs. cons ~3%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EPS framing ('broadly similar to Q1')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0.72</m:t>
              </m:r>
              <m:r>
                <m:rPr>
                  <m:sty m:val="p"/>
                </m:rPr>
                <m:t>−</m:t>
              </m:r>
              <m:r>
                <m:t>0.75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0.76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margin (2H phasing / tariff drag)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~less expansion in 2H (~29% Q2 vs. cons ~29.5%) (Q2/2H'26)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Stock is at an all-time high after a ~6% run into the print, so a modest EPS/core beat with only a narrowing-to-upper-half reaffirmation (no outright raise above $3.00) fails to clear an elevated bar — classic sell-the-news. Out-period math is unfavorable: management flagged less margin expansion in 2H, a persisting tariff gross-margin drag into Q3, and a Q4 selling-days revenue headwind, so FY estimates get trimmed at the back end even after a Q2 beat, pulling the stock lower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2026-07-29T01:06:41Z</dcterms:created>
  <dcterms:modified xsi:type="dcterms:W3CDTF">2026-07-29T01:06:41Z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